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Bdr>
          <w:top w:val="none" w:color="auto" w:sz="0" w:space="0"/>
          <w:left w:val="none" w:color="auto" w:sz="0" w:space="0"/>
          <w:bottom w:val="none" w:color="auto" w:sz="0" w:space="0"/>
          <w:right w:val="none" w:color="auto" w:sz="0" w:space="0"/>
        </w:pBdr>
        <w:tabs>
          <w:tab w:val="left" w:pos="7200"/>
          <w:tab w:val="left" w:pos="7404"/>
        </w:tabs>
        <w:spacing w:before="0" w:after="0" w:line="700" w:lineRule="exact"/>
        <w:jc w:val="center"/>
        <w:rPr>
          <w:rFonts w:ascii="方正小标宋简体" w:hAnsi="方正大标宋简体" w:eastAsia="方正小标宋简体" w:cs="方正大标宋简体"/>
          <w:b w:val="0"/>
          <w:sz w:val="36"/>
          <w:szCs w:val="36"/>
        </w:rPr>
      </w:pPr>
      <w:bookmarkStart w:id="1" w:name="_GoBack"/>
      <w:bookmarkEnd w:id="1"/>
      <w:bookmarkStart w:id="0" w:name="_Toc398141877"/>
      <w:r>
        <w:rPr>
          <w:rFonts w:hint="eastAsia" w:ascii="方正小标宋简体" w:hAnsi="方正大标宋简体" w:eastAsia="方正小标宋简体" w:cs="方正大标宋简体"/>
          <w:b w:val="0"/>
          <w:sz w:val="36"/>
          <w:szCs w:val="36"/>
        </w:rPr>
        <w:t>浙江农林大学暨阳学院</w:t>
      </w:r>
    </w:p>
    <w:p>
      <w:pPr>
        <w:pStyle w:val="2"/>
        <w:keepNext w:val="0"/>
        <w:keepLines w:val="0"/>
        <w:pBdr>
          <w:top w:val="none" w:color="auto" w:sz="0" w:space="0"/>
          <w:left w:val="none" w:color="auto" w:sz="0" w:space="0"/>
          <w:bottom w:val="none" w:color="auto" w:sz="0" w:space="0"/>
          <w:right w:val="none" w:color="auto" w:sz="0" w:space="0"/>
        </w:pBdr>
        <w:tabs>
          <w:tab w:val="left" w:pos="7200"/>
          <w:tab w:val="left" w:pos="7404"/>
        </w:tabs>
        <w:spacing w:before="0" w:after="0" w:line="700" w:lineRule="exact"/>
        <w:jc w:val="center"/>
        <w:rPr>
          <w:rFonts w:ascii="方正小标宋简体" w:hAnsi="方正大标宋简体" w:eastAsia="方正小标宋简体" w:cs="方正大标宋简体"/>
          <w:b w:val="0"/>
          <w:sz w:val="36"/>
          <w:szCs w:val="36"/>
        </w:rPr>
      </w:pPr>
      <w:r>
        <w:rPr>
          <w:rFonts w:hint="eastAsia" w:ascii="方正小标宋简体" w:hAnsi="方正大标宋简体" w:eastAsia="方正小标宋简体" w:cs="方正大标宋简体"/>
          <w:b w:val="0"/>
          <w:sz w:val="36"/>
          <w:szCs w:val="36"/>
        </w:rPr>
        <w:t>工程技术学院教师教学工作业绩考核</w:t>
      </w:r>
      <w:bookmarkEnd w:id="0"/>
      <w:r>
        <w:rPr>
          <w:rFonts w:hint="eastAsia" w:ascii="方正小标宋简体" w:hAnsi="方正大标宋简体" w:eastAsia="方正小标宋简体" w:cs="方正大标宋简体"/>
          <w:b w:val="0"/>
          <w:sz w:val="36"/>
          <w:szCs w:val="36"/>
        </w:rPr>
        <w:t>实施细则</w:t>
      </w:r>
    </w:p>
    <w:p>
      <w:pPr>
        <w:spacing w:line="560" w:lineRule="exact"/>
        <w:rPr>
          <w:sz w:val="32"/>
          <w:szCs w:val="32"/>
        </w:rPr>
      </w:pPr>
    </w:p>
    <w:p>
      <w:pPr>
        <w:pStyle w:val="2"/>
        <w:keepNext w:val="0"/>
        <w:keepLines w:val="0"/>
        <w:numPr>
          <w:ilvl w:val="0"/>
          <w:numId w:val="1"/>
        </w:numPr>
        <w:pBdr>
          <w:top w:val="none" w:color="auto" w:sz="0" w:space="0"/>
          <w:left w:val="none" w:color="auto" w:sz="0" w:space="0"/>
          <w:bottom w:val="none" w:color="auto" w:sz="0" w:space="0"/>
          <w:right w:val="none" w:color="auto" w:sz="0" w:space="0"/>
        </w:pBdr>
        <w:spacing w:before="0" w:after="0" w:line="560" w:lineRule="exact"/>
        <w:jc w:val="center"/>
        <w:rPr>
          <w:rFonts w:ascii="黑体" w:hAnsi="黑体" w:eastAsia="黑体" w:cs="仿宋_GB2312"/>
          <w:b w:val="0"/>
          <w:kern w:val="2"/>
          <w:szCs w:val="32"/>
        </w:rPr>
      </w:pPr>
      <w:r>
        <w:rPr>
          <w:rFonts w:hint="eastAsia" w:ascii="黑体" w:hAnsi="黑体" w:eastAsia="黑体" w:cs="仿宋_GB2312"/>
          <w:b w:val="0"/>
          <w:kern w:val="2"/>
          <w:szCs w:val="32"/>
        </w:rPr>
        <w:t>总  则</w:t>
      </w:r>
    </w:p>
    <w:p>
      <w:pPr>
        <w:numPr>
          <w:ilvl w:val="0"/>
          <w:numId w:val="2"/>
        </w:numPr>
        <w:tabs>
          <w:tab w:val="left" w:pos="0"/>
        </w:tabs>
        <w:spacing w:line="560" w:lineRule="exact"/>
        <w:ind w:left="0" w:firstLine="640" w:firstLineChars="200"/>
        <w:jc w:val="left"/>
        <w:rPr>
          <w:rFonts w:ascii="仿宋_GB2312" w:hAnsi="仿宋" w:eastAsia="仿宋_GB2312" w:cs="仿宋"/>
          <w:bCs/>
          <w:sz w:val="32"/>
          <w:szCs w:val="32"/>
        </w:rPr>
      </w:pPr>
      <w:r>
        <w:rPr>
          <w:rFonts w:hint="eastAsia" w:ascii="仿宋_GB2312" w:hAnsi="仿宋" w:eastAsia="仿宋_GB2312" w:cs="仿宋"/>
          <w:bCs/>
          <w:sz w:val="32"/>
          <w:szCs w:val="32"/>
        </w:rPr>
        <w:t>根据</w:t>
      </w:r>
      <w:r>
        <w:rPr>
          <w:rFonts w:hint="eastAsia" w:ascii="仿宋_GB2312" w:hAnsi="宋体" w:eastAsia="仿宋_GB2312" w:cs="宋体"/>
          <w:bCs/>
          <w:kern w:val="0"/>
          <w:sz w:val="32"/>
          <w:szCs w:val="32"/>
        </w:rPr>
        <w:t>《</w:t>
      </w:r>
      <w:r>
        <w:rPr>
          <w:rFonts w:hint="eastAsia" w:ascii="仿宋_GB2312" w:hAnsi="宋体" w:eastAsia="仿宋_GB2312" w:cs="宋体"/>
          <w:kern w:val="0"/>
          <w:sz w:val="32"/>
          <w:szCs w:val="32"/>
        </w:rPr>
        <w:t>浙江农林大学暨阳学院教师教学工作业绩考核办法（试行）</w:t>
      </w:r>
      <w:r>
        <w:rPr>
          <w:rFonts w:hint="eastAsia" w:ascii="仿宋_GB2312" w:hAnsi="宋体" w:eastAsia="仿宋_GB2312" w:cs="宋体"/>
          <w:bCs/>
          <w:kern w:val="0"/>
          <w:sz w:val="32"/>
          <w:szCs w:val="32"/>
        </w:rPr>
        <w:t>》（暨阳学院</w:t>
      </w:r>
      <w:r>
        <w:rPr>
          <w:rFonts w:hint="eastAsia" w:ascii="仿宋_GB2312" w:hAnsi="宋体" w:cs="宋体"/>
          <w:bCs/>
          <w:kern w:val="0"/>
          <w:sz w:val="32"/>
          <w:szCs w:val="32"/>
        </w:rPr>
        <w:t>﹝</w:t>
      </w:r>
      <w:r>
        <w:rPr>
          <w:rFonts w:hint="eastAsia" w:ascii="仿宋_GB2312" w:hAnsi="宋体" w:eastAsia="仿宋_GB2312" w:cs="宋体"/>
          <w:bCs/>
          <w:kern w:val="0"/>
          <w:sz w:val="32"/>
          <w:szCs w:val="32"/>
        </w:rPr>
        <w:t>2017〕7号）</w:t>
      </w:r>
      <w:r>
        <w:rPr>
          <w:rFonts w:hint="eastAsia" w:ascii="仿宋_GB2312" w:hAnsi="仿宋" w:eastAsia="仿宋_GB2312" w:cs="仿宋"/>
          <w:bCs/>
          <w:sz w:val="32"/>
          <w:szCs w:val="32"/>
        </w:rPr>
        <w:t>精神，结合工程技术学院（以下简称学院）实际，制定本实施细则。</w:t>
      </w:r>
    </w:p>
    <w:p>
      <w:pPr>
        <w:numPr>
          <w:ilvl w:val="0"/>
          <w:numId w:val="2"/>
        </w:numPr>
        <w:tabs>
          <w:tab w:val="left" w:pos="0"/>
        </w:tabs>
        <w:spacing w:line="560" w:lineRule="exact"/>
        <w:ind w:left="0" w:firstLine="640" w:firstLineChars="200"/>
        <w:jc w:val="left"/>
        <w:rPr>
          <w:rFonts w:ascii="仿宋_GB2312" w:hAnsi="仿宋" w:eastAsia="仿宋_GB2312" w:cs="仿宋"/>
          <w:bCs/>
          <w:sz w:val="32"/>
          <w:szCs w:val="32"/>
        </w:rPr>
      </w:pPr>
      <w:r>
        <w:rPr>
          <w:rFonts w:hint="eastAsia" w:ascii="仿宋_GB2312" w:hAnsi="仿宋" w:eastAsia="仿宋_GB2312" w:cs="仿宋"/>
          <w:bCs/>
          <w:sz w:val="32"/>
          <w:szCs w:val="32"/>
        </w:rPr>
        <w:t>教师教学工作业绩考核（以下简称“考核”）坚持公开、公平、公正，重在引导和激励，突出课堂教学效果，推进教学建设与改革的原则。</w:t>
      </w:r>
    </w:p>
    <w:p>
      <w:pPr>
        <w:numPr>
          <w:ilvl w:val="0"/>
          <w:numId w:val="2"/>
        </w:numPr>
        <w:tabs>
          <w:tab w:val="left" w:pos="0"/>
        </w:tabs>
        <w:spacing w:line="560" w:lineRule="exact"/>
        <w:ind w:left="0" w:firstLine="640" w:firstLineChars="200"/>
        <w:jc w:val="left"/>
        <w:rPr>
          <w:rFonts w:ascii="仿宋_GB2312" w:hAnsi="仿宋" w:eastAsia="仿宋_GB2312" w:cs="仿宋"/>
          <w:bCs/>
          <w:sz w:val="32"/>
          <w:szCs w:val="32"/>
        </w:rPr>
      </w:pPr>
      <w:r>
        <w:rPr>
          <w:rFonts w:hint="eastAsia" w:ascii="仿宋_GB2312" w:hAnsi="仿宋" w:eastAsia="仿宋_GB2312" w:cs="仿宋"/>
          <w:bCs/>
          <w:sz w:val="32"/>
          <w:szCs w:val="32"/>
        </w:rPr>
        <w:t>本实施细则的考核期间为公历自然年度。</w:t>
      </w:r>
    </w:p>
    <w:p>
      <w:pPr>
        <w:pStyle w:val="2"/>
        <w:keepNext w:val="0"/>
        <w:keepLines w:val="0"/>
        <w:numPr>
          <w:ilvl w:val="0"/>
          <w:numId w:val="1"/>
        </w:numPr>
        <w:pBdr>
          <w:top w:val="none" w:color="auto" w:sz="0" w:space="0"/>
          <w:left w:val="none" w:color="auto" w:sz="0" w:space="0"/>
          <w:bottom w:val="none" w:color="auto" w:sz="0" w:space="0"/>
          <w:right w:val="none" w:color="auto" w:sz="0" w:space="0"/>
        </w:pBdr>
        <w:spacing w:before="0" w:after="0" w:line="560" w:lineRule="exact"/>
        <w:jc w:val="center"/>
        <w:rPr>
          <w:rFonts w:ascii="黑体" w:hAnsi="黑体" w:eastAsia="黑体" w:cs="仿宋_GB2312"/>
          <w:b w:val="0"/>
          <w:kern w:val="2"/>
          <w:szCs w:val="32"/>
        </w:rPr>
      </w:pPr>
      <w:r>
        <w:rPr>
          <w:rFonts w:hint="eastAsia" w:ascii="黑体" w:hAnsi="黑体" w:eastAsia="黑体" w:cs="仿宋_GB2312"/>
          <w:b w:val="0"/>
          <w:kern w:val="2"/>
          <w:szCs w:val="32"/>
        </w:rPr>
        <w:t>组织机构与职责</w:t>
      </w:r>
    </w:p>
    <w:p>
      <w:pPr>
        <w:numPr>
          <w:ilvl w:val="0"/>
          <w:numId w:val="2"/>
        </w:numPr>
        <w:tabs>
          <w:tab w:val="left" w:pos="0"/>
        </w:tabs>
        <w:spacing w:line="560" w:lineRule="exact"/>
        <w:ind w:left="0" w:firstLine="640" w:firstLineChars="200"/>
        <w:jc w:val="left"/>
        <w:rPr>
          <w:rFonts w:ascii="仿宋_GB2312" w:hAnsi="仿宋" w:eastAsia="仿宋_GB2312" w:cs="仿宋"/>
          <w:bCs/>
          <w:sz w:val="32"/>
          <w:szCs w:val="32"/>
        </w:rPr>
      </w:pPr>
      <w:r>
        <w:rPr>
          <w:rFonts w:hint="eastAsia" w:ascii="仿宋_GB2312" w:hAnsi="仿宋" w:eastAsia="仿宋_GB2312" w:cs="仿宋"/>
          <w:bCs/>
          <w:sz w:val="32"/>
          <w:szCs w:val="32"/>
        </w:rPr>
        <w:t>学院成立考核工作小组（以下简称“考核小组”），由院长、书记担任组长，分管教学副院长担任副组长，成员由系（部）主任、专业负责人、学生办主任和教师代表组成。</w:t>
      </w:r>
    </w:p>
    <w:p>
      <w:pPr>
        <w:spacing w:line="560" w:lineRule="exact"/>
        <w:ind w:firstLine="640" w:firstLineChars="200"/>
        <w:jc w:val="left"/>
        <w:rPr>
          <w:rFonts w:ascii="仿宋_GB2312" w:hAnsi="仿宋" w:eastAsia="仿宋_GB2312" w:cs="仿宋"/>
          <w:bCs/>
          <w:sz w:val="32"/>
          <w:szCs w:val="32"/>
        </w:rPr>
      </w:pPr>
      <w:r>
        <w:rPr>
          <w:rFonts w:hint="eastAsia" w:ascii="仿宋_GB2312" w:hAnsi="仿宋" w:eastAsia="仿宋_GB2312" w:cs="仿宋"/>
          <w:bCs/>
          <w:sz w:val="32"/>
          <w:szCs w:val="32"/>
        </w:rPr>
        <w:t>考核小组职责：制定学院考核实施细则；组织学院教学工作业绩考核；审定教学工作业绩考核等级，并上报暨阳学院教师教学工作业绩考核领导小组。</w:t>
      </w:r>
    </w:p>
    <w:p>
      <w:pPr>
        <w:tabs>
          <w:tab w:val="left" w:pos="0"/>
          <w:tab w:val="left" w:pos="1755"/>
        </w:tabs>
        <w:spacing w:line="560" w:lineRule="exact"/>
        <w:ind w:left="640"/>
        <w:jc w:val="left"/>
        <w:rPr>
          <w:rFonts w:ascii="仿宋_GB2312" w:hAnsi="仿宋" w:eastAsia="仿宋_GB2312" w:cs="仿宋"/>
          <w:bCs/>
          <w:sz w:val="32"/>
          <w:szCs w:val="32"/>
        </w:rPr>
      </w:pPr>
      <w:r>
        <w:rPr>
          <w:rFonts w:hint="eastAsia" w:ascii="仿宋_GB2312" w:hAnsi="仿宋" w:eastAsia="仿宋_GB2312" w:cs="仿宋"/>
          <w:bCs/>
          <w:sz w:val="32"/>
          <w:szCs w:val="32"/>
        </w:rPr>
        <w:t>系部成立系部考核组，系部主任担任组长，成员由系部</w:t>
      </w:r>
    </w:p>
    <w:p>
      <w:pPr>
        <w:tabs>
          <w:tab w:val="left" w:pos="0"/>
          <w:tab w:val="left" w:pos="1755"/>
        </w:tabs>
        <w:spacing w:line="560" w:lineRule="exact"/>
        <w:jc w:val="left"/>
        <w:rPr>
          <w:rFonts w:ascii="仿宋_GB2312" w:hAnsi="仿宋" w:eastAsia="仿宋_GB2312" w:cs="仿宋"/>
          <w:bCs/>
          <w:sz w:val="32"/>
          <w:szCs w:val="32"/>
        </w:rPr>
      </w:pPr>
      <w:r>
        <w:rPr>
          <w:rFonts w:hint="eastAsia" w:ascii="仿宋_GB2312" w:hAnsi="仿宋" w:eastAsia="仿宋_GB2312" w:cs="仿宋"/>
          <w:bCs/>
          <w:sz w:val="32"/>
          <w:szCs w:val="32"/>
        </w:rPr>
        <w:t>副主任、专业负责人和教师代表组成。</w:t>
      </w:r>
    </w:p>
    <w:p>
      <w:pPr>
        <w:tabs>
          <w:tab w:val="left" w:pos="0"/>
          <w:tab w:val="left" w:pos="1755"/>
        </w:tabs>
        <w:spacing w:line="560" w:lineRule="exact"/>
        <w:ind w:firstLine="640" w:firstLineChars="200"/>
        <w:jc w:val="left"/>
        <w:rPr>
          <w:rFonts w:ascii="仿宋_GB2312" w:hAnsi="仿宋" w:eastAsia="仿宋_GB2312" w:cs="仿宋"/>
          <w:bCs/>
          <w:sz w:val="32"/>
          <w:szCs w:val="32"/>
        </w:rPr>
      </w:pPr>
      <w:r>
        <w:rPr>
          <w:rFonts w:hint="eastAsia" w:ascii="仿宋_GB2312" w:hAnsi="仿宋" w:eastAsia="仿宋_GB2312" w:cs="仿宋"/>
          <w:bCs/>
          <w:sz w:val="32"/>
          <w:szCs w:val="32"/>
        </w:rPr>
        <w:t>系部考核组职责：按照考核小组制定的考核实施细则，对系部教师具体实施教学工作业绩考核等级评定，考核结果（附考核佐证材料复印件）上报考核小组。</w:t>
      </w:r>
    </w:p>
    <w:p>
      <w:pPr>
        <w:pStyle w:val="2"/>
        <w:keepNext w:val="0"/>
        <w:keepLines w:val="0"/>
        <w:numPr>
          <w:ilvl w:val="0"/>
          <w:numId w:val="1"/>
        </w:numPr>
        <w:pBdr>
          <w:top w:val="none" w:color="auto" w:sz="0" w:space="0"/>
          <w:left w:val="none" w:color="auto" w:sz="0" w:space="0"/>
          <w:bottom w:val="none" w:color="auto" w:sz="0" w:space="0"/>
          <w:right w:val="none" w:color="auto" w:sz="0" w:space="0"/>
        </w:pBdr>
        <w:spacing w:before="0" w:after="0" w:line="560" w:lineRule="exact"/>
        <w:jc w:val="center"/>
        <w:rPr>
          <w:rFonts w:ascii="黑体" w:hAnsi="黑体" w:eastAsia="黑体" w:cs="仿宋_GB2312"/>
          <w:b w:val="0"/>
          <w:kern w:val="2"/>
          <w:szCs w:val="32"/>
        </w:rPr>
      </w:pPr>
      <w:r>
        <w:rPr>
          <w:rFonts w:hint="eastAsia" w:ascii="黑体" w:hAnsi="黑体" w:eastAsia="黑体" w:cs="仿宋_GB2312"/>
          <w:b w:val="0"/>
          <w:kern w:val="2"/>
          <w:szCs w:val="32"/>
        </w:rPr>
        <w:t>考核对象</w:t>
      </w:r>
    </w:p>
    <w:p>
      <w:pPr>
        <w:numPr>
          <w:ilvl w:val="0"/>
          <w:numId w:val="2"/>
        </w:numPr>
        <w:tabs>
          <w:tab w:val="left" w:pos="0"/>
        </w:tabs>
        <w:spacing w:line="560" w:lineRule="exact"/>
        <w:ind w:left="0" w:firstLine="640" w:firstLineChars="200"/>
        <w:jc w:val="left"/>
        <w:rPr>
          <w:rFonts w:ascii="仿宋_GB2312" w:hAnsi="仿宋" w:eastAsia="仿宋_GB2312" w:cs="仿宋"/>
          <w:bCs/>
          <w:sz w:val="32"/>
          <w:szCs w:val="32"/>
        </w:rPr>
      </w:pPr>
      <w:r>
        <w:rPr>
          <w:rFonts w:hint="eastAsia" w:ascii="仿宋_GB2312" w:hAnsi="仿宋" w:eastAsia="仿宋_GB2312" w:cs="仿宋"/>
          <w:bCs/>
          <w:sz w:val="32"/>
          <w:szCs w:val="32"/>
        </w:rPr>
        <w:t>从事教学工作的专任教师（不含辅导员）须按要求参加考核。</w:t>
      </w:r>
    </w:p>
    <w:p>
      <w:pPr>
        <w:tabs>
          <w:tab w:val="left" w:pos="0"/>
        </w:tabs>
        <w:spacing w:line="560" w:lineRule="exact"/>
        <w:ind w:firstLine="640" w:firstLineChars="200"/>
        <w:jc w:val="left"/>
        <w:rPr>
          <w:rFonts w:ascii="仿宋_GB2312" w:hAnsi="仿宋" w:eastAsia="仿宋_GB2312" w:cs="仿宋"/>
          <w:bCs/>
          <w:sz w:val="32"/>
          <w:szCs w:val="32"/>
        </w:rPr>
      </w:pPr>
      <w:r>
        <w:rPr>
          <w:rFonts w:hint="eastAsia" w:ascii="仿宋_GB2312" w:hAnsi="仿宋_GB2312" w:eastAsia="仿宋_GB2312" w:cs="仿宋_GB2312"/>
          <w:sz w:val="32"/>
          <w:szCs w:val="32"/>
        </w:rPr>
        <w:t>（一）</w:t>
      </w:r>
      <w:r>
        <w:rPr>
          <w:rFonts w:hint="eastAsia" w:ascii="仿宋_GB2312" w:hAnsi="仿宋" w:eastAsia="仿宋_GB2312" w:cs="仿宋"/>
          <w:bCs/>
          <w:sz w:val="32"/>
          <w:szCs w:val="32"/>
        </w:rPr>
        <w:t>从事管理工作并具有教师专业技术职务的双肩挑教师，由其学科所属系（部）进行考核。</w:t>
      </w:r>
    </w:p>
    <w:p>
      <w:pPr>
        <w:tabs>
          <w:tab w:val="left" w:pos="0"/>
        </w:tabs>
        <w:spacing w:line="560" w:lineRule="exact"/>
        <w:ind w:firstLine="640" w:firstLineChars="200"/>
        <w:jc w:val="left"/>
        <w:rPr>
          <w:rFonts w:ascii="仿宋_GB2312" w:hAnsi="仿宋" w:eastAsia="仿宋_GB2312" w:cs="仿宋"/>
          <w:bCs/>
          <w:sz w:val="32"/>
          <w:szCs w:val="32"/>
        </w:rPr>
      </w:pPr>
      <w:r>
        <w:rPr>
          <w:rFonts w:hint="eastAsia" w:ascii="仿宋_GB2312" w:hAnsi="仿宋_GB2312" w:eastAsia="仿宋_GB2312" w:cs="仿宋_GB2312"/>
          <w:sz w:val="32"/>
          <w:szCs w:val="32"/>
        </w:rPr>
        <w:t>（二）</w:t>
      </w:r>
      <w:r>
        <w:rPr>
          <w:rFonts w:hint="eastAsia" w:ascii="仿宋_GB2312" w:hAnsi="仿宋" w:eastAsia="仿宋_GB2312" w:cs="仿宋"/>
          <w:bCs/>
          <w:sz w:val="32"/>
          <w:szCs w:val="32"/>
        </w:rPr>
        <w:t>请假（病假、事假、产假、哺乳假）、暨阳学院批准脱产赴国（境）内（外）进修、组织批准外派挂职锻炼的人员，不在校时间累计6个月及以上的，原则上当年度不参与考核；如教师确需参加考核，可向学院提出申请，经同意后参与考核。以上人员在校时间累计超过6个月及以上的需参加考核。</w:t>
      </w:r>
    </w:p>
    <w:p>
      <w:pPr>
        <w:tabs>
          <w:tab w:val="left" w:pos="0"/>
        </w:tabs>
        <w:spacing w:line="560" w:lineRule="exact"/>
        <w:ind w:firstLine="640" w:firstLineChars="200"/>
        <w:jc w:val="left"/>
        <w:rPr>
          <w:rFonts w:ascii="仿宋_GB2312" w:hAnsi="仿宋" w:eastAsia="仿宋_GB2312" w:cs="仿宋"/>
          <w:bCs/>
          <w:sz w:val="32"/>
          <w:szCs w:val="32"/>
        </w:rPr>
      </w:pPr>
      <w:r>
        <w:rPr>
          <w:rFonts w:hint="eastAsia" w:ascii="仿宋_GB2312" w:hAnsi="仿宋_GB2312" w:eastAsia="仿宋_GB2312" w:cs="仿宋_GB2312"/>
          <w:sz w:val="32"/>
          <w:szCs w:val="32"/>
        </w:rPr>
        <w:t>（三）</w:t>
      </w:r>
      <w:r>
        <w:rPr>
          <w:rFonts w:hint="eastAsia" w:ascii="仿宋_GB2312" w:hAnsi="仿宋" w:eastAsia="仿宋_GB2312" w:cs="仿宋"/>
          <w:bCs/>
          <w:sz w:val="32"/>
          <w:szCs w:val="32"/>
        </w:rPr>
        <w:t>因工作调动或应届毕业生来校工作，原则上当年度不参加考核。</w:t>
      </w:r>
    </w:p>
    <w:p>
      <w:pPr>
        <w:pStyle w:val="2"/>
        <w:keepNext w:val="0"/>
        <w:keepLines w:val="0"/>
        <w:numPr>
          <w:ilvl w:val="0"/>
          <w:numId w:val="1"/>
        </w:numPr>
        <w:pBdr>
          <w:top w:val="none" w:color="auto" w:sz="0" w:space="0"/>
          <w:left w:val="none" w:color="auto" w:sz="0" w:space="0"/>
          <w:bottom w:val="none" w:color="auto" w:sz="0" w:space="0"/>
          <w:right w:val="none" w:color="auto" w:sz="0" w:space="0"/>
        </w:pBdr>
        <w:spacing w:before="0" w:after="0" w:line="560" w:lineRule="exact"/>
        <w:jc w:val="center"/>
        <w:rPr>
          <w:rFonts w:ascii="黑体" w:hAnsi="黑体" w:eastAsia="黑体" w:cs="仿宋_GB2312"/>
          <w:b w:val="0"/>
          <w:kern w:val="2"/>
          <w:szCs w:val="32"/>
        </w:rPr>
      </w:pPr>
      <w:r>
        <w:rPr>
          <w:rFonts w:hint="eastAsia" w:ascii="黑体" w:hAnsi="黑体" w:eastAsia="黑体" w:cs="仿宋_GB2312"/>
          <w:b w:val="0"/>
          <w:kern w:val="2"/>
          <w:szCs w:val="32"/>
        </w:rPr>
        <w:t>考核内容</w:t>
      </w:r>
    </w:p>
    <w:p>
      <w:pPr>
        <w:numPr>
          <w:ilvl w:val="0"/>
          <w:numId w:val="2"/>
        </w:numPr>
        <w:tabs>
          <w:tab w:val="left" w:pos="0"/>
        </w:tabs>
        <w:spacing w:line="560" w:lineRule="exact"/>
        <w:ind w:left="0"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考核主要围绕教学工作量、教学效果、教学改革等三个方面。</w:t>
      </w:r>
    </w:p>
    <w:p>
      <w:pPr>
        <w:spacing w:line="560" w:lineRule="exact"/>
        <w:ind w:firstLine="643" w:firstLineChars="200"/>
        <w:rPr>
          <w:rFonts w:ascii="仿宋_GB2312" w:hAnsi="仿宋" w:eastAsia="仿宋_GB2312" w:cs="仿宋"/>
          <w:bCs/>
          <w:sz w:val="32"/>
          <w:szCs w:val="32"/>
        </w:rPr>
      </w:pPr>
      <w:r>
        <w:rPr>
          <w:rFonts w:hint="eastAsia" w:ascii="仿宋_GB2312" w:hAnsi="仿宋_GB2312" w:eastAsia="仿宋_GB2312" w:cs="仿宋_GB2312"/>
          <w:b/>
          <w:bCs/>
          <w:sz w:val="32"/>
          <w:szCs w:val="32"/>
        </w:rPr>
        <w:t>（一）</w:t>
      </w:r>
      <w:r>
        <w:rPr>
          <w:rFonts w:hint="eastAsia" w:ascii="仿宋_GB2312" w:hAnsi="仿宋" w:eastAsia="仿宋_GB2312" w:cs="仿宋"/>
          <w:b/>
          <w:bCs/>
          <w:sz w:val="32"/>
          <w:szCs w:val="32"/>
        </w:rPr>
        <w:t>教学工作量。</w:t>
      </w:r>
      <w:r>
        <w:rPr>
          <w:rFonts w:hint="eastAsia" w:ascii="仿宋_GB2312" w:hAnsi="仿宋" w:eastAsia="仿宋_GB2312" w:cs="仿宋"/>
          <w:bCs/>
          <w:sz w:val="32"/>
          <w:szCs w:val="32"/>
        </w:rPr>
        <w:t>学院安排的课程教学和实践性教学环节的工作量。</w:t>
      </w:r>
    </w:p>
    <w:p>
      <w:pPr>
        <w:spacing w:line="560" w:lineRule="exact"/>
        <w:ind w:firstLine="643" w:firstLineChars="200"/>
        <w:rPr>
          <w:rFonts w:ascii="仿宋_GB2312" w:hAnsi="仿宋" w:eastAsia="仿宋_GB2312" w:cs="仿宋"/>
          <w:bCs/>
          <w:sz w:val="32"/>
          <w:szCs w:val="32"/>
        </w:rPr>
      </w:pPr>
      <w:r>
        <w:rPr>
          <w:rFonts w:hint="eastAsia" w:ascii="仿宋_GB2312" w:hAnsi="仿宋_GB2312" w:eastAsia="仿宋_GB2312" w:cs="仿宋_GB2312"/>
          <w:b/>
          <w:bCs/>
          <w:sz w:val="32"/>
          <w:szCs w:val="32"/>
        </w:rPr>
        <w:t>（二）</w:t>
      </w:r>
      <w:r>
        <w:rPr>
          <w:rFonts w:hint="eastAsia" w:ascii="仿宋_GB2312" w:hAnsi="仿宋" w:eastAsia="仿宋_GB2312" w:cs="仿宋"/>
          <w:b/>
          <w:bCs/>
          <w:sz w:val="32"/>
          <w:szCs w:val="32"/>
        </w:rPr>
        <w:t>教学效果。</w:t>
      </w:r>
      <w:r>
        <w:rPr>
          <w:rFonts w:hint="eastAsia" w:ascii="仿宋_GB2312" w:hAnsi="仿宋" w:eastAsia="仿宋_GB2312" w:cs="仿宋"/>
          <w:sz w:val="32"/>
          <w:szCs w:val="32"/>
        </w:rPr>
        <w:t>主要</w:t>
      </w:r>
      <w:r>
        <w:rPr>
          <w:rFonts w:hint="eastAsia" w:ascii="仿宋_GB2312" w:hAnsi="仿宋" w:eastAsia="仿宋_GB2312" w:cs="仿宋"/>
          <w:bCs/>
          <w:sz w:val="32"/>
          <w:szCs w:val="32"/>
        </w:rPr>
        <w:t>包括教师教学规范、教学质量评价（包括学生评教、同行评教、学院测评）、教学奖励（指导学生参加科技竞赛获奖、在教书育人方面的获奖情况）和教学事故等方面。</w:t>
      </w:r>
    </w:p>
    <w:p>
      <w:pPr>
        <w:spacing w:line="560" w:lineRule="exact"/>
        <w:ind w:firstLine="643" w:firstLineChars="200"/>
        <w:rPr>
          <w:rFonts w:ascii="仿宋_GB2312" w:hAnsi="仿宋" w:eastAsia="仿宋_GB2312" w:cs="仿宋"/>
          <w:bCs/>
          <w:sz w:val="32"/>
          <w:szCs w:val="32"/>
        </w:rPr>
      </w:pPr>
      <w:r>
        <w:rPr>
          <w:rFonts w:hint="eastAsia" w:ascii="仿宋_GB2312" w:hAnsi="仿宋_GB2312" w:eastAsia="仿宋_GB2312" w:cs="仿宋_GB2312"/>
          <w:b/>
          <w:bCs/>
          <w:sz w:val="32"/>
          <w:szCs w:val="32"/>
        </w:rPr>
        <w:t>（三）</w:t>
      </w:r>
      <w:r>
        <w:rPr>
          <w:rFonts w:hint="eastAsia" w:ascii="仿宋_GB2312" w:hAnsi="仿宋" w:eastAsia="仿宋_GB2312" w:cs="仿宋"/>
          <w:b/>
          <w:bCs/>
          <w:sz w:val="32"/>
          <w:szCs w:val="32"/>
        </w:rPr>
        <w:t>教学改革。</w:t>
      </w:r>
      <w:r>
        <w:rPr>
          <w:rFonts w:hint="eastAsia" w:ascii="仿宋_GB2312" w:hAnsi="仿宋" w:eastAsia="仿宋_GB2312" w:cs="仿宋"/>
          <w:bCs/>
          <w:sz w:val="32"/>
          <w:szCs w:val="32"/>
        </w:rPr>
        <w:t>主要包括教师教学建设与研究项目、教学研究论文及论著(教材)、教学奖励等。</w:t>
      </w:r>
    </w:p>
    <w:p>
      <w:pPr>
        <w:spacing w:line="56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以上三方面具体考核指标和权重，根据《工程技术学院教师教学工作业绩考核指标》计算。</w:t>
      </w:r>
    </w:p>
    <w:p>
      <w:pPr>
        <w:numPr>
          <w:ilvl w:val="0"/>
          <w:numId w:val="2"/>
        </w:numPr>
        <w:tabs>
          <w:tab w:val="left" w:pos="0"/>
        </w:tabs>
        <w:spacing w:line="560" w:lineRule="exact"/>
        <w:ind w:left="0" w:firstLine="640" w:firstLineChars="200"/>
        <w:jc w:val="left"/>
        <w:rPr>
          <w:rFonts w:ascii="仿宋_GB2312" w:hAnsi="仿宋" w:eastAsia="仿宋_GB2312" w:cs="仿宋"/>
          <w:bCs/>
          <w:sz w:val="32"/>
          <w:szCs w:val="32"/>
        </w:rPr>
      </w:pPr>
      <w:r>
        <w:rPr>
          <w:rFonts w:hint="eastAsia" w:ascii="仿宋_GB2312" w:hAnsi="仿宋" w:eastAsia="仿宋_GB2312" w:cs="仿宋"/>
          <w:bCs/>
          <w:sz w:val="32"/>
          <w:szCs w:val="32"/>
        </w:rPr>
        <w:t>考核实行等级制。考核等级分为A等（优秀）、B等（合格）、C等（基本合格）和D等（不合格）四个等级。教师按规定时间向系（部）考核组提交考核相关表格及佐证材料（超出规定时间提交的材料不予认定，无佐证材料的内容不予认定）。</w:t>
      </w:r>
    </w:p>
    <w:p>
      <w:pPr>
        <w:numPr>
          <w:ilvl w:val="0"/>
          <w:numId w:val="2"/>
        </w:numPr>
        <w:tabs>
          <w:tab w:val="left" w:pos="0"/>
        </w:tabs>
        <w:spacing w:line="560" w:lineRule="exact"/>
        <w:ind w:left="0" w:firstLine="640" w:firstLineChars="200"/>
        <w:jc w:val="left"/>
        <w:rPr>
          <w:rFonts w:ascii="仿宋_GB2312" w:hAnsi="仿宋" w:eastAsia="仿宋_GB2312" w:cs="仿宋"/>
          <w:bCs/>
          <w:sz w:val="32"/>
          <w:szCs w:val="32"/>
        </w:rPr>
      </w:pPr>
      <w:r>
        <w:rPr>
          <w:rFonts w:hint="eastAsia" w:ascii="仿宋_GB2312" w:hAnsi="仿宋" w:eastAsia="仿宋_GB2312" w:cs="仿宋"/>
          <w:bCs/>
          <w:sz w:val="32"/>
          <w:szCs w:val="32"/>
        </w:rPr>
        <w:t>各系（部）考核等级分配。各系（部）A等人数为各系（部）参评人数乘以当年度教务部给定A等所占百分比结果的整数部分，与教务部分配名额的差额根据其小数部分由高到低排序补足。B、C、D等不做比例要求，由各系（部）考核决定。</w:t>
      </w:r>
    </w:p>
    <w:p>
      <w:pPr>
        <w:numPr>
          <w:ilvl w:val="0"/>
          <w:numId w:val="2"/>
        </w:numPr>
        <w:tabs>
          <w:tab w:val="left" w:pos="0"/>
        </w:tabs>
        <w:spacing w:line="560" w:lineRule="exact"/>
        <w:ind w:left="0" w:firstLine="640" w:firstLineChars="200"/>
        <w:jc w:val="left"/>
        <w:rPr>
          <w:rFonts w:ascii="仿宋_GB2312" w:hAnsi="仿宋" w:eastAsia="仿宋_GB2312" w:cs="仿宋"/>
          <w:b/>
          <w:bCs/>
          <w:sz w:val="32"/>
          <w:szCs w:val="32"/>
        </w:rPr>
      </w:pPr>
      <w:r>
        <w:rPr>
          <w:rFonts w:hint="eastAsia" w:ascii="仿宋_GB2312" w:hAnsi="仿宋" w:eastAsia="仿宋_GB2312" w:cs="仿宋"/>
          <w:bCs/>
          <w:sz w:val="32"/>
          <w:szCs w:val="32"/>
        </w:rPr>
        <w:t>考核等级的原则要求。</w:t>
      </w:r>
    </w:p>
    <w:p>
      <w:pPr>
        <w:spacing w:line="560" w:lineRule="exact"/>
        <w:jc w:val="left"/>
        <w:rPr>
          <w:rFonts w:ascii="仿宋_GB2312" w:hAnsi="仿宋" w:eastAsia="仿宋_GB2312" w:cs="仿宋"/>
          <w:bCs/>
          <w:sz w:val="32"/>
          <w:szCs w:val="32"/>
        </w:rPr>
      </w:pPr>
      <w:r>
        <w:rPr>
          <w:rFonts w:hint="eastAsia" w:ascii="仿宋_GB2312" w:hAnsi="仿宋" w:eastAsia="仿宋_GB2312" w:cs="仿宋"/>
          <w:bCs/>
          <w:sz w:val="32"/>
          <w:szCs w:val="32"/>
        </w:rPr>
        <w:t xml:space="preserve">    A等。教学工作量符合规定的最低要求，每年度至少主讲一门课程，教学效果好；未出现教学事故；积极参加各级各类教学建设与改革项目，教学改革效果显著。</w:t>
      </w:r>
    </w:p>
    <w:p>
      <w:pPr>
        <w:spacing w:line="560" w:lineRule="exact"/>
        <w:rPr>
          <w:rFonts w:ascii="仿宋_GB2312" w:hAnsi="仿宋" w:eastAsia="仿宋_GB2312" w:cs="仿宋"/>
          <w:bCs/>
          <w:sz w:val="32"/>
          <w:szCs w:val="32"/>
        </w:rPr>
      </w:pPr>
      <w:r>
        <w:rPr>
          <w:rFonts w:hint="eastAsia" w:ascii="仿宋_GB2312" w:hAnsi="仿宋" w:eastAsia="仿宋_GB2312" w:cs="仿宋"/>
          <w:bCs/>
          <w:sz w:val="32"/>
          <w:szCs w:val="32"/>
        </w:rPr>
        <w:t xml:space="preserve">    B等。教学工作量符合规定的最低要求，每年度至少主讲一门课程，教学效果好;未出现教学事故;参加各级各类教学建设与改革项目；青年教师参加助讲培养考核结果为优秀可定为B等；暨阳学院领导参与考核的定为B等。</w:t>
      </w:r>
    </w:p>
    <w:p>
      <w:pPr>
        <w:spacing w:line="560" w:lineRule="exact"/>
        <w:rPr>
          <w:rFonts w:ascii="仿宋_GB2312" w:hAnsi="仿宋" w:eastAsia="仿宋_GB2312" w:cs="仿宋"/>
          <w:bCs/>
          <w:sz w:val="32"/>
          <w:szCs w:val="32"/>
        </w:rPr>
      </w:pPr>
      <w:r>
        <w:rPr>
          <w:rFonts w:hint="eastAsia" w:ascii="仿宋_GB2312" w:hAnsi="仿宋" w:eastAsia="仿宋_GB2312" w:cs="仿宋"/>
          <w:bCs/>
          <w:sz w:val="32"/>
          <w:szCs w:val="32"/>
        </w:rPr>
        <w:t xml:space="preserve">    C等。教学工作量符合规定的最低要求，每年度至少主讲一门课程，课堂教学质量合格；青年教师参加助讲培养考核结果为合格可定为C等。</w:t>
      </w:r>
    </w:p>
    <w:p>
      <w:pPr>
        <w:spacing w:line="560" w:lineRule="exact"/>
        <w:rPr>
          <w:rFonts w:ascii="仿宋_GB2312" w:hAnsi="仿宋" w:eastAsia="仿宋_GB2312" w:cs="仿宋"/>
          <w:bCs/>
          <w:sz w:val="32"/>
          <w:szCs w:val="32"/>
        </w:rPr>
      </w:pPr>
      <w:r>
        <w:rPr>
          <w:rFonts w:hint="eastAsia" w:ascii="仿宋_GB2312" w:hAnsi="仿宋" w:eastAsia="仿宋_GB2312" w:cs="仿宋"/>
          <w:bCs/>
          <w:sz w:val="32"/>
          <w:szCs w:val="32"/>
        </w:rPr>
        <w:t xml:space="preserve">    D等。有以下情况之一者直接定为D等：认定为一般教学事故2次以上（含2次）或重大教学事故1次以上（含1次）者；无正当理由拒不接受学院、系（部）安排的教学任务者；违反教学工作有关规定，造成重大影响或损失。</w:t>
      </w:r>
    </w:p>
    <w:p>
      <w:pPr>
        <w:numPr>
          <w:ilvl w:val="0"/>
          <w:numId w:val="2"/>
        </w:numPr>
        <w:tabs>
          <w:tab w:val="left" w:pos="0"/>
        </w:tabs>
        <w:spacing w:line="560" w:lineRule="exact"/>
        <w:ind w:left="0" w:firstLine="640" w:firstLineChars="200"/>
        <w:jc w:val="left"/>
        <w:rPr>
          <w:rFonts w:ascii="仿宋_GB2312" w:hAnsi="仿宋" w:eastAsia="仿宋_GB2312" w:cs="仿宋"/>
          <w:bCs/>
          <w:sz w:val="32"/>
          <w:szCs w:val="32"/>
        </w:rPr>
      </w:pPr>
      <w:r>
        <w:rPr>
          <w:rFonts w:hint="eastAsia" w:ascii="仿宋_GB2312" w:hAnsi="仿宋" w:eastAsia="仿宋_GB2312" w:cs="仿宋"/>
          <w:bCs/>
          <w:sz w:val="32"/>
          <w:szCs w:val="32"/>
        </w:rPr>
        <w:t>认定为1次一般教学事故者，只能评为C等及以下等级。</w:t>
      </w:r>
    </w:p>
    <w:p>
      <w:pPr>
        <w:pStyle w:val="2"/>
        <w:keepNext w:val="0"/>
        <w:keepLines w:val="0"/>
        <w:numPr>
          <w:ilvl w:val="0"/>
          <w:numId w:val="1"/>
        </w:numPr>
        <w:pBdr>
          <w:top w:val="none" w:color="auto" w:sz="0" w:space="0"/>
          <w:left w:val="none" w:color="auto" w:sz="0" w:space="0"/>
          <w:bottom w:val="none" w:color="auto" w:sz="0" w:space="0"/>
          <w:right w:val="none" w:color="auto" w:sz="0" w:space="0"/>
        </w:pBdr>
        <w:spacing w:before="0" w:after="0" w:line="560" w:lineRule="exact"/>
        <w:jc w:val="center"/>
        <w:rPr>
          <w:rFonts w:ascii="黑体" w:hAnsi="黑体" w:eastAsia="黑体" w:cs="仿宋_GB2312"/>
          <w:b w:val="0"/>
          <w:kern w:val="2"/>
          <w:szCs w:val="32"/>
        </w:rPr>
      </w:pPr>
      <w:r>
        <w:rPr>
          <w:rFonts w:hint="eastAsia" w:ascii="黑体" w:hAnsi="黑体" w:eastAsia="黑体" w:cs="仿宋_GB2312"/>
          <w:b w:val="0"/>
          <w:kern w:val="2"/>
          <w:szCs w:val="32"/>
        </w:rPr>
        <w:t>考核程序</w:t>
      </w:r>
    </w:p>
    <w:p>
      <w:pPr>
        <w:numPr>
          <w:ilvl w:val="0"/>
          <w:numId w:val="2"/>
        </w:numPr>
        <w:tabs>
          <w:tab w:val="left" w:pos="0"/>
        </w:tabs>
        <w:spacing w:line="560" w:lineRule="exact"/>
        <w:ind w:left="0" w:firstLine="640" w:firstLineChars="200"/>
        <w:jc w:val="left"/>
        <w:rPr>
          <w:rFonts w:ascii="仿宋_GB2312" w:hAnsi="仿宋" w:eastAsia="仿宋_GB2312" w:cs="仿宋"/>
          <w:bCs/>
          <w:sz w:val="32"/>
          <w:szCs w:val="32"/>
        </w:rPr>
      </w:pPr>
      <w:r>
        <w:rPr>
          <w:rFonts w:hint="eastAsia" w:ascii="仿宋_GB2312" w:hAnsi="仿宋" w:eastAsia="仿宋_GB2312" w:cs="仿宋"/>
          <w:bCs/>
          <w:sz w:val="32"/>
          <w:szCs w:val="32"/>
        </w:rPr>
        <w:t>具体考核程序。</w:t>
      </w:r>
    </w:p>
    <w:p>
      <w:pPr>
        <w:spacing w:line="560" w:lineRule="exact"/>
        <w:rPr>
          <w:rFonts w:ascii="仿宋_GB2312" w:hAnsi="仿宋" w:eastAsia="仿宋_GB2312" w:cs="仿宋"/>
          <w:bCs/>
          <w:sz w:val="32"/>
          <w:szCs w:val="32"/>
        </w:rPr>
      </w:pPr>
      <w:r>
        <w:rPr>
          <w:rFonts w:hint="eastAsia" w:ascii="仿宋_GB2312" w:hAnsi="仿宋" w:eastAsia="仿宋_GB2312" w:cs="仿宋"/>
          <w:bCs/>
          <w:sz w:val="32"/>
          <w:szCs w:val="32"/>
        </w:rPr>
        <w:t xml:space="preserve">    </w:t>
      </w:r>
      <w:r>
        <w:rPr>
          <w:rFonts w:hint="eastAsia" w:ascii="仿宋_GB2312" w:hAnsi="仿宋_GB2312" w:eastAsia="仿宋_GB2312" w:cs="仿宋_GB2312"/>
          <w:sz w:val="32"/>
          <w:szCs w:val="32"/>
        </w:rPr>
        <w:t>（一）系（部）</w:t>
      </w:r>
      <w:r>
        <w:rPr>
          <w:rFonts w:hint="eastAsia" w:ascii="仿宋_GB2312" w:hAnsi="仿宋" w:eastAsia="仿宋_GB2312" w:cs="仿宋"/>
          <w:bCs/>
          <w:sz w:val="32"/>
          <w:szCs w:val="32"/>
        </w:rPr>
        <w:t>考核组评审。系（部）考核组审核和评议，评定等级后报院考核小组。</w:t>
      </w:r>
    </w:p>
    <w:p>
      <w:pPr>
        <w:spacing w:line="560" w:lineRule="exact"/>
        <w:rPr>
          <w:rFonts w:ascii="仿宋_GB2312" w:hAnsi="仿宋" w:eastAsia="仿宋_GB2312" w:cs="仿宋"/>
          <w:bCs/>
          <w:sz w:val="32"/>
          <w:szCs w:val="32"/>
        </w:rPr>
      </w:pPr>
      <w:r>
        <w:rPr>
          <w:rFonts w:hint="eastAsia" w:ascii="仿宋_GB2312" w:hAnsi="仿宋" w:eastAsia="仿宋_GB2312" w:cs="仿宋"/>
          <w:bCs/>
          <w:sz w:val="32"/>
          <w:szCs w:val="32"/>
        </w:rPr>
        <w:t xml:space="preserve">    </w:t>
      </w:r>
      <w:r>
        <w:rPr>
          <w:rFonts w:hint="eastAsia" w:ascii="仿宋_GB2312" w:hAnsi="仿宋_GB2312" w:eastAsia="仿宋_GB2312" w:cs="仿宋_GB2312"/>
          <w:sz w:val="32"/>
          <w:szCs w:val="32"/>
        </w:rPr>
        <w:t>（二）院</w:t>
      </w:r>
      <w:r>
        <w:rPr>
          <w:rFonts w:hint="eastAsia" w:ascii="仿宋_GB2312" w:hAnsi="仿宋" w:eastAsia="仿宋_GB2312" w:cs="仿宋"/>
          <w:bCs/>
          <w:sz w:val="32"/>
          <w:szCs w:val="32"/>
        </w:rPr>
        <w:t>考核工作小组审定。考核小组组织召开考核工作小组会议，对评定等级进行审定。</w:t>
      </w:r>
    </w:p>
    <w:p>
      <w:pPr>
        <w:spacing w:line="560" w:lineRule="exact"/>
        <w:rPr>
          <w:rFonts w:ascii="仿宋_GB2312" w:hAnsi="仿宋" w:eastAsia="仿宋_GB2312" w:cs="仿宋"/>
          <w:bCs/>
          <w:sz w:val="32"/>
          <w:szCs w:val="32"/>
        </w:rPr>
      </w:pPr>
      <w:r>
        <w:rPr>
          <w:rFonts w:hint="eastAsia" w:ascii="仿宋_GB2312" w:hAnsi="仿宋_GB2312" w:eastAsia="仿宋_GB2312" w:cs="仿宋_GB2312"/>
          <w:sz w:val="32"/>
          <w:szCs w:val="32"/>
        </w:rPr>
        <w:t xml:space="preserve">    （三）</w:t>
      </w:r>
      <w:r>
        <w:rPr>
          <w:rFonts w:hint="eastAsia" w:ascii="仿宋_GB2312" w:hAnsi="仿宋" w:eastAsia="仿宋_GB2312" w:cs="仿宋"/>
          <w:bCs/>
          <w:sz w:val="32"/>
          <w:szCs w:val="32"/>
        </w:rPr>
        <w:t>公示。学院办公室在工程技术学院范围内公示年度教学工作业绩考核结果，并上报暨阳学院教学工作业绩考核领导小组。</w:t>
      </w:r>
    </w:p>
    <w:p>
      <w:pPr>
        <w:pStyle w:val="2"/>
        <w:keepNext w:val="0"/>
        <w:keepLines w:val="0"/>
        <w:numPr>
          <w:ilvl w:val="0"/>
          <w:numId w:val="1"/>
        </w:numPr>
        <w:pBdr>
          <w:top w:val="none" w:color="auto" w:sz="0" w:space="0"/>
          <w:left w:val="none" w:color="auto" w:sz="0" w:space="0"/>
          <w:bottom w:val="none" w:color="auto" w:sz="0" w:space="0"/>
          <w:right w:val="none" w:color="auto" w:sz="0" w:space="0"/>
        </w:pBdr>
        <w:spacing w:before="0" w:after="0" w:line="560" w:lineRule="exact"/>
        <w:jc w:val="center"/>
        <w:rPr>
          <w:rFonts w:ascii="黑体" w:hAnsi="黑体" w:eastAsia="黑体" w:cs="仿宋_GB2312"/>
          <w:b w:val="0"/>
          <w:kern w:val="2"/>
          <w:szCs w:val="32"/>
        </w:rPr>
      </w:pPr>
      <w:r>
        <w:rPr>
          <w:rFonts w:hint="eastAsia" w:ascii="黑体" w:hAnsi="黑体" w:eastAsia="黑体" w:cs="仿宋_GB2312"/>
          <w:b w:val="0"/>
          <w:kern w:val="2"/>
          <w:szCs w:val="32"/>
        </w:rPr>
        <w:t>考核结果的使用</w:t>
      </w:r>
    </w:p>
    <w:p>
      <w:pPr>
        <w:numPr>
          <w:ilvl w:val="0"/>
          <w:numId w:val="2"/>
        </w:numPr>
        <w:tabs>
          <w:tab w:val="left" w:pos="0"/>
        </w:tabs>
        <w:spacing w:line="560" w:lineRule="exact"/>
        <w:ind w:left="0" w:firstLine="640" w:firstLineChars="200"/>
        <w:jc w:val="left"/>
        <w:rPr>
          <w:rFonts w:ascii="仿宋_GB2312" w:hAnsi="仿宋" w:eastAsia="仿宋_GB2312" w:cs="仿宋"/>
          <w:bCs/>
          <w:sz w:val="32"/>
          <w:szCs w:val="32"/>
        </w:rPr>
      </w:pPr>
      <w:r>
        <w:rPr>
          <w:rFonts w:hint="eastAsia" w:ascii="仿宋_GB2312" w:hAnsi="仿宋" w:eastAsia="仿宋_GB2312" w:cs="仿宋"/>
          <w:bCs/>
          <w:sz w:val="32"/>
          <w:szCs w:val="32"/>
        </w:rPr>
        <w:t>考核结果作为教师聘任和职称评定等的重要依据之一。</w:t>
      </w:r>
    </w:p>
    <w:p>
      <w:pPr>
        <w:numPr>
          <w:ilvl w:val="0"/>
          <w:numId w:val="2"/>
        </w:numPr>
        <w:tabs>
          <w:tab w:val="left" w:pos="0"/>
        </w:tabs>
        <w:spacing w:line="560" w:lineRule="exact"/>
        <w:ind w:left="0" w:firstLine="640" w:firstLineChars="200"/>
        <w:jc w:val="left"/>
        <w:rPr>
          <w:rFonts w:ascii="仿宋_GB2312" w:hAnsi="仿宋" w:eastAsia="仿宋_GB2312" w:cs="仿宋"/>
          <w:bCs/>
          <w:sz w:val="32"/>
          <w:szCs w:val="32"/>
        </w:rPr>
      </w:pPr>
      <w:r>
        <w:rPr>
          <w:rFonts w:hint="eastAsia" w:ascii="仿宋_GB2312" w:hAnsi="仿宋" w:eastAsia="仿宋_GB2312" w:cs="仿宋"/>
          <w:bCs/>
          <w:sz w:val="32"/>
          <w:szCs w:val="32"/>
        </w:rPr>
        <w:t>考核为D等者，学院暂停其主讲教师资格，不得承担课程主讲任务；连续两年考核为D等者，调离教学岗位。</w:t>
      </w:r>
    </w:p>
    <w:p>
      <w:pPr>
        <w:pStyle w:val="2"/>
        <w:keepNext w:val="0"/>
        <w:keepLines w:val="0"/>
        <w:numPr>
          <w:ilvl w:val="0"/>
          <w:numId w:val="1"/>
        </w:numPr>
        <w:pBdr>
          <w:top w:val="none" w:color="auto" w:sz="0" w:space="0"/>
          <w:left w:val="none" w:color="auto" w:sz="0" w:space="0"/>
          <w:bottom w:val="none" w:color="auto" w:sz="0" w:space="0"/>
          <w:right w:val="none" w:color="auto" w:sz="0" w:space="0"/>
        </w:pBdr>
        <w:spacing w:before="0" w:after="0" w:line="560" w:lineRule="exact"/>
        <w:jc w:val="center"/>
        <w:rPr>
          <w:rFonts w:ascii="黑体" w:hAnsi="黑体" w:eastAsia="黑体" w:cs="仿宋_GB2312"/>
          <w:b w:val="0"/>
          <w:kern w:val="2"/>
          <w:szCs w:val="32"/>
        </w:rPr>
      </w:pPr>
      <w:r>
        <w:rPr>
          <w:rFonts w:hint="eastAsia" w:ascii="黑体" w:hAnsi="黑体" w:eastAsia="黑体" w:cs="仿宋_GB2312"/>
          <w:b w:val="0"/>
          <w:kern w:val="2"/>
          <w:szCs w:val="32"/>
        </w:rPr>
        <w:t>其  他</w:t>
      </w:r>
    </w:p>
    <w:p>
      <w:pPr>
        <w:numPr>
          <w:ilvl w:val="0"/>
          <w:numId w:val="2"/>
        </w:numPr>
        <w:tabs>
          <w:tab w:val="left" w:pos="0"/>
        </w:tabs>
        <w:spacing w:line="560" w:lineRule="exact"/>
        <w:ind w:left="0" w:firstLine="640" w:firstLineChars="200"/>
        <w:jc w:val="left"/>
        <w:rPr>
          <w:rFonts w:ascii="仿宋_GB2312" w:hAnsi="仿宋" w:eastAsia="仿宋_GB2312" w:cs="仿宋"/>
          <w:bCs/>
          <w:sz w:val="32"/>
          <w:szCs w:val="32"/>
        </w:rPr>
      </w:pPr>
      <w:r>
        <w:rPr>
          <w:rFonts w:hint="eastAsia" w:ascii="仿宋_GB2312" w:hAnsi="仿宋" w:eastAsia="仿宋_GB2312" w:cs="仿宋"/>
          <w:bCs/>
          <w:sz w:val="32"/>
          <w:szCs w:val="32"/>
        </w:rPr>
        <w:t>本办法与上级文件冲突时，以上级文件为准。</w:t>
      </w:r>
    </w:p>
    <w:p>
      <w:pPr>
        <w:numPr>
          <w:ilvl w:val="0"/>
          <w:numId w:val="2"/>
        </w:numPr>
        <w:tabs>
          <w:tab w:val="left" w:pos="0"/>
        </w:tabs>
        <w:spacing w:line="560" w:lineRule="exact"/>
        <w:ind w:left="0" w:firstLine="640" w:firstLineChars="200"/>
        <w:jc w:val="left"/>
        <w:rPr>
          <w:rFonts w:ascii="仿宋_GB2312" w:hAnsi="仿宋" w:eastAsia="仿宋_GB2312" w:cs="仿宋"/>
          <w:bCs/>
          <w:sz w:val="32"/>
          <w:szCs w:val="32"/>
        </w:rPr>
      </w:pPr>
      <w:r>
        <w:rPr>
          <w:rFonts w:hint="eastAsia" w:ascii="仿宋_GB2312" w:hAnsi="仿宋" w:eastAsia="仿宋_GB2312" w:cs="仿宋"/>
          <w:bCs/>
          <w:sz w:val="32"/>
          <w:szCs w:val="32"/>
        </w:rPr>
        <w:t>本办法自发布之日起执行，由考核小组负责解释。</w:t>
      </w:r>
    </w:p>
    <w:p>
      <w:pPr>
        <w:rPr>
          <w:rFonts w:ascii="仿宋_GB2312" w:hAnsi="仿宋" w:eastAsia="仿宋_GB2312" w:cs="仿宋"/>
          <w:bCs/>
          <w:sz w:val="32"/>
          <w:szCs w:val="32"/>
        </w:rPr>
      </w:pPr>
      <w:r>
        <w:rPr>
          <w:rFonts w:hint="eastAsia" w:ascii="仿宋_GB2312" w:hAnsi="仿宋" w:eastAsia="仿宋_GB2312" w:cs="仿宋"/>
          <w:bCs/>
          <w:sz w:val="32"/>
          <w:szCs w:val="32"/>
        </w:rPr>
        <w:br w:type="page"/>
      </w:r>
    </w:p>
    <w:p>
      <w:pPr>
        <w:snapToGrid w:val="0"/>
        <w:rPr>
          <w:rFonts w:hint="eastAsia" w:ascii="黑体" w:hAnsi="宋体" w:eastAsia="黑体"/>
          <w:szCs w:val="21"/>
        </w:rPr>
      </w:pPr>
      <w:r>
        <w:rPr>
          <w:rFonts w:hint="eastAsia" w:ascii="黑体" w:hAnsi="宋体" w:eastAsia="黑体"/>
          <w:szCs w:val="21"/>
        </w:rPr>
        <w:t>附件：</w:t>
      </w:r>
    </w:p>
    <w:p>
      <w:pPr>
        <w:tabs>
          <w:tab w:val="left" w:pos="1800"/>
        </w:tabs>
        <w:snapToGrid w:val="0"/>
        <w:jc w:val="center"/>
        <w:rPr>
          <w:rFonts w:hint="eastAsia" w:ascii="宋体" w:hAnsi="宋体"/>
          <w:b/>
          <w:w w:val="90"/>
          <w:sz w:val="30"/>
          <w:szCs w:val="30"/>
        </w:rPr>
      </w:pPr>
      <w:r>
        <w:rPr>
          <w:rFonts w:hint="eastAsia" w:ascii="宋体" w:hAnsi="宋体"/>
          <w:b/>
          <w:w w:val="90"/>
          <w:sz w:val="28"/>
          <w:szCs w:val="28"/>
        </w:rPr>
        <w:t>工程技术学院教师教学工作业绩考核指标</w:t>
      </w:r>
    </w:p>
    <w:p>
      <w:pPr>
        <w:tabs>
          <w:tab w:val="left" w:pos="1800"/>
        </w:tabs>
        <w:spacing w:line="400" w:lineRule="exact"/>
        <w:ind w:firstLine="579" w:firstLineChars="200"/>
        <w:rPr>
          <w:rFonts w:hint="eastAsia" w:ascii="宋体" w:hAnsi="宋体"/>
          <w:b/>
          <w:w w:val="90"/>
          <w:sz w:val="32"/>
          <w:szCs w:val="32"/>
        </w:rPr>
      </w:pPr>
    </w:p>
    <w:p>
      <w:pPr>
        <w:spacing w:line="420" w:lineRule="exact"/>
        <w:ind w:firstLine="480" w:firstLineChars="200"/>
        <w:rPr>
          <w:sz w:val="24"/>
        </w:rPr>
      </w:pPr>
      <w:r>
        <w:rPr>
          <w:rFonts w:hint="eastAsia"/>
          <w:sz w:val="24"/>
        </w:rPr>
        <w:t>本科教学工作业绩计算公式为：</w:t>
      </w:r>
      <w:r>
        <w:rPr>
          <w:sz w:val="24"/>
        </w:rPr>
        <w:t>S= S</w:t>
      </w:r>
      <w:r>
        <w:rPr>
          <w:sz w:val="24"/>
          <w:vertAlign w:val="subscript"/>
        </w:rPr>
        <w:t>1</w:t>
      </w:r>
      <w:r>
        <w:rPr>
          <w:rFonts w:hint="eastAsia" w:ascii="仿宋_GB2312" w:hAnsi="宋体" w:eastAsia="仿宋_GB2312"/>
          <w:sz w:val="24"/>
        </w:rPr>
        <w:t>*10%</w:t>
      </w:r>
      <w:r>
        <w:rPr>
          <w:sz w:val="24"/>
        </w:rPr>
        <w:t>+ S</w:t>
      </w:r>
      <w:r>
        <w:rPr>
          <w:sz w:val="24"/>
          <w:vertAlign w:val="subscript"/>
        </w:rPr>
        <w:t>2</w:t>
      </w:r>
      <w:r>
        <w:rPr>
          <w:rFonts w:hint="eastAsia" w:ascii="仿宋_GB2312" w:hAnsi="宋体" w:eastAsia="仿宋_GB2312"/>
          <w:sz w:val="24"/>
        </w:rPr>
        <w:t>*75%+</w:t>
      </w:r>
      <w:r>
        <w:rPr>
          <w:sz w:val="24"/>
        </w:rPr>
        <w:t>S</w:t>
      </w:r>
      <w:r>
        <w:rPr>
          <w:sz w:val="24"/>
          <w:vertAlign w:val="subscript"/>
        </w:rPr>
        <w:t>3</w:t>
      </w:r>
      <w:r>
        <w:rPr>
          <w:rFonts w:hint="eastAsia" w:ascii="仿宋_GB2312" w:hAnsi="宋体" w:eastAsia="仿宋_GB2312"/>
          <w:sz w:val="24"/>
        </w:rPr>
        <w:t>*15%</w:t>
      </w:r>
      <w:r>
        <w:rPr>
          <w:rFonts w:hint="eastAsia"/>
          <w:sz w:val="24"/>
        </w:rPr>
        <w:t>。其中</w:t>
      </w:r>
      <w:r>
        <w:rPr>
          <w:sz w:val="24"/>
        </w:rPr>
        <w:t>S</w:t>
      </w:r>
      <w:r>
        <w:rPr>
          <w:rFonts w:hint="eastAsia"/>
          <w:sz w:val="24"/>
        </w:rPr>
        <w:t>为教师教学工作业绩总分，</w:t>
      </w:r>
      <w:r>
        <w:rPr>
          <w:sz w:val="24"/>
        </w:rPr>
        <w:t>S</w:t>
      </w:r>
      <w:r>
        <w:rPr>
          <w:sz w:val="24"/>
          <w:vertAlign w:val="subscript"/>
        </w:rPr>
        <w:t>1</w:t>
      </w:r>
      <w:r>
        <w:rPr>
          <w:rFonts w:hint="eastAsia"/>
          <w:sz w:val="24"/>
        </w:rPr>
        <w:t>为教学工作量得分，</w:t>
      </w:r>
      <w:r>
        <w:rPr>
          <w:sz w:val="24"/>
        </w:rPr>
        <w:t>S</w:t>
      </w:r>
      <w:r>
        <w:rPr>
          <w:sz w:val="24"/>
          <w:vertAlign w:val="subscript"/>
        </w:rPr>
        <w:t>2</w:t>
      </w:r>
      <w:r>
        <w:rPr>
          <w:rFonts w:hint="eastAsia"/>
          <w:sz w:val="24"/>
        </w:rPr>
        <w:t>为教学效果得分（</w:t>
      </w:r>
      <w:r>
        <w:rPr>
          <w:sz w:val="24"/>
        </w:rPr>
        <w:t>S</w:t>
      </w:r>
      <w:r>
        <w:rPr>
          <w:sz w:val="24"/>
          <w:vertAlign w:val="subscript"/>
        </w:rPr>
        <w:t>2</w:t>
      </w:r>
      <w:r>
        <w:rPr>
          <w:sz w:val="24"/>
        </w:rPr>
        <w:t>= S</w:t>
      </w:r>
      <w:r>
        <w:rPr>
          <w:sz w:val="24"/>
          <w:vertAlign w:val="subscript"/>
        </w:rPr>
        <w:t>21</w:t>
      </w:r>
      <w:r>
        <w:rPr>
          <w:rFonts w:hint="eastAsia" w:ascii="仿宋_GB2312" w:hAnsi="宋体" w:eastAsia="仿宋_GB2312"/>
          <w:sz w:val="24"/>
        </w:rPr>
        <w:t>*30%</w:t>
      </w:r>
      <w:r>
        <w:rPr>
          <w:sz w:val="24"/>
        </w:rPr>
        <w:t xml:space="preserve"> +S</w:t>
      </w:r>
      <w:r>
        <w:rPr>
          <w:sz w:val="24"/>
          <w:vertAlign w:val="subscript"/>
        </w:rPr>
        <w:t>22</w:t>
      </w:r>
      <w:r>
        <w:rPr>
          <w:rFonts w:hint="eastAsia" w:ascii="仿宋_GB2312" w:hAnsi="宋体" w:eastAsia="仿宋_GB2312"/>
          <w:sz w:val="24"/>
        </w:rPr>
        <w:t>*50%</w:t>
      </w:r>
      <w:r>
        <w:rPr>
          <w:sz w:val="24"/>
        </w:rPr>
        <w:t xml:space="preserve"> +S</w:t>
      </w:r>
      <w:r>
        <w:rPr>
          <w:sz w:val="24"/>
          <w:vertAlign w:val="subscript"/>
        </w:rPr>
        <w:t>23</w:t>
      </w:r>
      <w:r>
        <w:rPr>
          <w:rFonts w:hint="eastAsia"/>
          <w:sz w:val="24"/>
          <w:vertAlign w:val="subscript"/>
        </w:rPr>
        <w:t>*</w:t>
      </w:r>
      <w:r>
        <w:rPr>
          <w:rFonts w:hint="eastAsia"/>
          <w:sz w:val="24"/>
        </w:rPr>
        <w:t>20%-S</w:t>
      </w:r>
      <w:r>
        <w:rPr>
          <w:rFonts w:hint="eastAsia"/>
          <w:sz w:val="24"/>
          <w:vertAlign w:val="subscript"/>
        </w:rPr>
        <w:t>24</w:t>
      </w:r>
      <w:r>
        <w:rPr>
          <w:rFonts w:hint="eastAsia"/>
          <w:sz w:val="24"/>
        </w:rPr>
        <w:t>），</w:t>
      </w:r>
      <w:r>
        <w:rPr>
          <w:sz w:val="24"/>
        </w:rPr>
        <w:t>S</w:t>
      </w:r>
      <w:r>
        <w:rPr>
          <w:sz w:val="24"/>
          <w:vertAlign w:val="subscript"/>
        </w:rPr>
        <w:t>3</w:t>
      </w:r>
      <w:r>
        <w:rPr>
          <w:rFonts w:hint="eastAsia"/>
          <w:sz w:val="24"/>
        </w:rPr>
        <w:t>为教学改革得分（</w:t>
      </w:r>
      <w:r>
        <w:rPr>
          <w:sz w:val="24"/>
        </w:rPr>
        <w:t>S</w:t>
      </w:r>
      <w:r>
        <w:rPr>
          <w:sz w:val="24"/>
          <w:vertAlign w:val="subscript"/>
        </w:rPr>
        <w:t>3</w:t>
      </w:r>
      <w:r>
        <w:rPr>
          <w:sz w:val="24"/>
        </w:rPr>
        <w:t>= S</w:t>
      </w:r>
      <w:r>
        <w:rPr>
          <w:sz w:val="24"/>
          <w:vertAlign w:val="subscript"/>
        </w:rPr>
        <w:t>31</w:t>
      </w:r>
      <w:r>
        <w:rPr>
          <w:sz w:val="24"/>
        </w:rPr>
        <w:t xml:space="preserve"> +S</w:t>
      </w:r>
      <w:r>
        <w:rPr>
          <w:sz w:val="24"/>
          <w:vertAlign w:val="subscript"/>
        </w:rPr>
        <w:t>32</w:t>
      </w:r>
      <w:r>
        <w:rPr>
          <w:rFonts w:hint="eastAsia"/>
          <w:sz w:val="24"/>
        </w:rPr>
        <w:t>）。</w:t>
      </w:r>
    </w:p>
    <w:tbl>
      <w:tblPr>
        <w:tblStyle w:val="7"/>
        <w:tblW w:w="92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168"/>
        <w:gridCol w:w="1726"/>
        <w:gridCol w:w="378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blHeader/>
          <w:jc w:val="center"/>
        </w:trPr>
        <w:tc>
          <w:tcPr>
            <w:tcW w:w="1215" w:type="dxa"/>
            <w:noWrap w:val="0"/>
            <w:vAlign w:val="center"/>
          </w:tcPr>
          <w:p>
            <w:pPr>
              <w:spacing w:line="280" w:lineRule="exact"/>
              <w:rPr>
                <w:rFonts w:hint="eastAsia" w:ascii="仿宋" w:hAnsi="仿宋" w:eastAsia="仿宋" w:cs="仿宋"/>
                <w:szCs w:val="21"/>
              </w:rPr>
            </w:pPr>
            <w:r>
              <w:rPr>
                <w:rFonts w:hint="eastAsia" w:ascii="仿宋" w:hAnsi="仿宋" w:eastAsia="仿宋" w:cs="仿宋"/>
                <w:szCs w:val="21"/>
              </w:rPr>
              <w:t>一级指标</w:t>
            </w:r>
          </w:p>
        </w:tc>
        <w:tc>
          <w:tcPr>
            <w:tcW w:w="1168" w:type="dxa"/>
            <w:noWrap w:val="0"/>
            <w:vAlign w:val="center"/>
          </w:tcPr>
          <w:p>
            <w:pPr>
              <w:spacing w:line="280" w:lineRule="exact"/>
              <w:rPr>
                <w:rFonts w:hint="eastAsia" w:ascii="仿宋" w:hAnsi="仿宋" w:eastAsia="仿宋" w:cs="仿宋"/>
                <w:szCs w:val="21"/>
              </w:rPr>
            </w:pPr>
            <w:r>
              <w:rPr>
                <w:rFonts w:hint="eastAsia" w:ascii="仿宋" w:hAnsi="仿宋" w:eastAsia="仿宋" w:cs="仿宋"/>
                <w:szCs w:val="21"/>
              </w:rPr>
              <w:t>二级指标</w:t>
            </w:r>
          </w:p>
        </w:tc>
        <w:tc>
          <w:tcPr>
            <w:tcW w:w="1726" w:type="dxa"/>
            <w:noWrap w:val="0"/>
            <w:vAlign w:val="center"/>
          </w:tcPr>
          <w:p>
            <w:pPr>
              <w:spacing w:line="280" w:lineRule="exact"/>
              <w:ind w:firstLine="420" w:firstLineChars="200"/>
              <w:rPr>
                <w:rFonts w:hint="eastAsia" w:ascii="仿宋" w:hAnsi="仿宋" w:eastAsia="仿宋" w:cs="仿宋"/>
                <w:szCs w:val="21"/>
              </w:rPr>
            </w:pPr>
            <w:r>
              <w:rPr>
                <w:rFonts w:hint="eastAsia" w:ascii="仿宋" w:hAnsi="仿宋" w:eastAsia="仿宋" w:cs="仿宋"/>
                <w:szCs w:val="21"/>
              </w:rPr>
              <w:t>主要观测点</w:t>
            </w:r>
          </w:p>
        </w:tc>
        <w:tc>
          <w:tcPr>
            <w:tcW w:w="3780" w:type="dxa"/>
            <w:noWrap w:val="0"/>
            <w:vAlign w:val="center"/>
          </w:tcPr>
          <w:p>
            <w:pPr>
              <w:spacing w:line="280" w:lineRule="exact"/>
              <w:jc w:val="center"/>
              <w:rPr>
                <w:rFonts w:hint="eastAsia" w:ascii="仿宋" w:hAnsi="仿宋" w:eastAsia="仿宋" w:cs="仿宋"/>
                <w:szCs w:val="21"/>
              </w:rPr>
            </w:pPr>
            <w:r>
              <w:rPr>
                <w:rFonts w:hint="eastAsia" w:ascii="仿宋" w:hAnsi="仿宋" w:eastAsia="仿宋" w:cs="仿宋"/>
                <w:szCs w:val="21"/>
              </w:rPr>
              <w:t>量化分值计算办法</w:t>
            </w:r>
          </w:p>
        </w:tc>
        <w:tc>
          <w:tcPr>
            <w:tcW w:w="1365" w:type="dxa"/>
            <w:noWrap w:val="0"/>
            <w:vAlign w:val="center"/>
          </w:tcPr>
          <w:p>
            <w:pPr>
              <w:spacing w:line="280" w:lineRule="exact"/>
              <w:jc w:val="center"/>
              <w:rPr>
                <w:rFonts w:hint="eastAsia"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1" w:hRule="atLeast"/>
          <w:jc w:val="center"/>
        </w:trPr>
        <w:tc>
          <w:tcPr>
            <w:tcW w:w="1215" w:type="dxa"/>
            <w:vMerge w:val="restart"/>
            <w:noWrap w:val="0"/>
            <w:vAlign w:val="center"/>
          </w:tcPr>
          <w:p>
            <w:pPr>
              <w:spacing w:line="280" w:lineRule="exact"/>
              <w:jc w:val="center"/>
              <w:rPr>
                <w:rFonts w:hint="eastAsia" w:ascii="仿宋" w:hAnsi="仿宋" w:eastAsia="仿宋" w:cs="仿宋"/>
                <w:szCs w:val="21"/>
              </w:rPr>
            </w:pPr>
            <w:r>
              <w:rPr>
                <w:rFonts w:hint="eastAsia" w:ascii="仿宋" w:hAnsi="仿宋" w:eastAsia="仿宋" w:cs="仿宋"/>
                <w:szCs w:val="21"/>
              </w:rPr>
              <w:t>教学工作量（S</w:t>
            </w:r>
            <w:r>
              <w:rPr>
                <w:rFonts w:hint="eastAsia" w:ascii="仿宋" w:hAnsi="仿宋" w:eastAsia="仿宋" w:cs="仿宋"/>
                <w:szCs w:val="21"/>
                <w:vertAlign w:val="subscript"/>
              </w:rPr>
              <w:t>1</w:t>
            </w:r>
            <w:r>
              <w:rPr>
                <w:rFonts w:hint="eastAsia" w:ascii="仿宋" w:hAnsi="仿宋" w:eastAsia="仿宋" w:cs="仿宋"/>
                <w:szCs w:val="21"/>
              </w:rPr>
              <w:t>）</w:t>
            </w:r>
          </w:p>
          <w:p>
            <w:pPr>
              <w:spacing w:line="280" w:lineRule="exact"/>
              <w:jc w:val="center"/>
              <w:rPr>
                <w:rFonts w:hint="eastAsia" w:ascii="仿宋" w:hAnsi="仿宋" w:eastAsia="仿宋" w:cs="仿宋"/>
                <w:szCs w:val="21"/>
              </w:rPr>
            </w:pPr>
          </w:p>
        </w:tc>
        <w:tc>
          <w:tcPr>
            <w:tcW w:w="1168" w:type="dxa"/>
            <w:noWrap w:val="0"/>
            <w:vAlign w:val="center"/>
          </w:tcPr>
          <w:p>
            <w:pPr>
              <w:spacing w:line="280" w:lineRule="exact"/>
              <w:rPr>
                <w:rFonts w:hint="eastAsia" w:ascii="仿宋" w:hAnsi="仿宋" w:eastAsia="仿宋" w:cs="仿宋"/>
                <w:szCs w:val="21"/>
              </w:rPr>
            </w:pPr>
            <w:r>
              <w:rPr>
                <w:rFonts w:hint="eastAsia" w:ascii="仿宋" w:hAnsi="仿宋" w:eastAsia="仿宋" w:cs="仿宋"/>
                <w:szCs w:val="21"/>
              </w:rPr>
              <w:t>课堂教学:</w:t>
            </w:r>
          </w:p>
        </w:tc>
        <w:tc>
          <w:tcPr>
            <w:tcW w:w="1726" w:type="dxa"/>
            <w:noWrap w:val="0"/>
            <w:vAlign w:val="center"/>
          </w:tcPr>
          <w:p>
            <w:pPr>
              <w:spacing w:line="280" w:lineRule="exact"/>
              <w:rPr>
                <w:rFonts w:hint="eastAsia" w:ascii="仿宋" w:hAnsi="仿宋" w:eastAsia="仿宋" w:cs="仿宋"/>
                <w:szCs w:val="21"/>
              </w:rPr>
            </w:pPr>
            <w:r>
              <w:rPr>
                <w:rFonts w:hint="eastAsia" w:ascii="仿宋" w:hAnsi="仿宋" w:eastAsia="仿宋" w:cs="仿宋"/>
                <w:szCs w:val="21"/>
              </w:rPr>
              <w:t>理论课、实验课</w:t>
            </w:r>
          </w:p>
        </w:tc>
        <w:tc>
          <w:tcPr>
            <w:tcW w:w="3780" w:type="dxa"/>
            <w:vMerge w:val="restart"/>
            <w:noWrap w:val="0"/>
            <w:vAlign w:val="center"/>
          </w:tcPr>
          <w:p>
            <w:pPr>
              <w:spacing w:line="280" w:lineRule="exact"/>
              <w:rPr>
                <w:rFonts w:hint="eastAsia" w:ascii="仿宋" w:hAnsi="仿宋" w:eastAsia="仿宋" w:cs="仿宋"/>
                <w:szCs w:val="21"/>
              </w:rPr>
            </w:pPr>
            <w:r>
              <w:rPr>
                <w:rFonts w:hint="eastAsia" w:ascii="仿宋" w:hAnsi="仿宋" w:eastAsia="仿宋" w:cs="仿宋"/>
                <w:szCs w:val="21"/>
              </w:rPr>
              <w:t>达到学院规定的岗位最低教学工作量100分，以系（部）教师人均教学工作量作为标准量，每超过标准量的1%，增加1分，最多加到120分；不足岗位最低教学工作量的每1%，减1分，以此类推直至减至0。（注1）</w:t>
            </w:r>
          </w:p>
        </w:tc>
        <w:tc>
          <w:tcPr>
            <w:tcW w:w="1365" w:type="dxa"/>
            <w:vMerge w:val="restart"/>
            <w:noWrap w:val="0"/>
            <w:vAlign w:val="center"/>
          </w:tcPr>
          <w:p>
            <w:pPr>
              <w:spacing w:line="280" w:lineRule="exact"/>
              <w:rPr>
                <w:rFonts w:ascii="仿宋" w:hAnsi="仿宋" w:eastAsia="仿宋" w:cs="仿宋"/>
                <w:szCs w:val="21"/>
              </w:rPr>
            </w:pPr>
            <w:r>
              <w:rPr>
                <w:rFonts w:hint="eastAsia" w:ascii="仿宋" w:hAnsi="仿宋" w:eastAsia="仿宋" w:cs="仿宋"/>
                <w:szCs w:val="21"/>
              </w:rPr>
              <w:t>在学院管理岗位工作且从事本科教学的教师按暨阳学院相关文件的要求计算。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5" w:hRule="atLeast"/>
          <w:jc w:val="center"/>
        </w:trPr>
        <w:tc>
          <w:tcPr>
            <w:tcW w:w="1215" w:type="dxa"/>
            <w:vMerge w:val="continue"/>
            <w:noWrap w:val="0"/>
            <w:vAlign w:val="center"/>
          </w:tcPr>
          <w:p>
            <w:pPr>
              <w:spacing w:line="280" w:lineRule="exact"/>
            </w:pPr>
          </w:p>
        </w:tc>
        <w:tc>
          <w:tcPr>
            <w:tcW w:w="1168" w:type="dxa"/>
            <w:noWrap w:val="0"/>
            <w:vAlign w:val="center"/>
          </w:tcPr>
          <w:p>
            <w:pPr>
              <w:spacing w:line="280" w:lineRule="exact"/>
            </w:pPr>
            <w:r>
              <w:rPr>
                <w:rFonts w:hint="eastAsia" w:ascii="仿宋" w:hAnsi="仿宋" w:eastAsia="仿宋" w:cs="仿宋"/>
                <w:szCs w:val="21"/>
              </w:rPr>
              <w:t>实践教学:</w:t>
            </w:r>
          </w:p>
        </w:tc>
        <w:tc>
          <w:tcPr>
            <w:tcW w:w="1726" w:type="dxa"/>
            <w:noWrap w:val="0"/>
            <w:vAlign w:val="center"/>
          </w:tcPr>
          <w:p>
            <w:pPr>
              <w:spacing w:line="280" w:lineRule="exact"/>
              <w:rPr>
                <w:rFonts w:hint="eastAsia" w:ascii="仿宋" w:hAnsi="仿宋" w:eastAsia="仿宋" w:cs="仿宋"/>
                <w:szCs w:val="21"/>
              </w:rPr>
            </w:pPr>
            <w:r>
              <w:rPr>
                <w:rFonts w:hint="eastAsia" w:ascii="仿宋" w:hAnsi="仿宋" w:eastAsia="仿宋" w:cs="仿宋"/>
                <w:szCs w:val="21"/>
              </w:rPr>
              <w:t>实习、课程设计、毕业论文（设计）、社会实践、实验室开放项目、科技竞赛、大学生科研训练项目</w:t>
            </w:r>
          </w:p>
        </w:tc>
        <w:tc>
          <w:tcPr>
            <w:tcW w:w="3780" w:type="dxa"/>
            <w:vMerge w:val="continue"/>
            <w:noWrap w:val="0"/>
            <w:vAlign w:val="center"/>
          </w:tcPr>
          <w:p>
            <w:pPr>
              <w:spacing w:line="280" w:lineRule="exact"/>
              <w:rPr>
                <w:rFonts w:hint="eastAsia" w:ascii="仿宋" w:hAnsi="仿宋" w:eastAsia="仿宋" w:cs="仿宋"/>
                <w:szCs w:val="21"/>
              </w:rPr>
            </w:pPr>
          </w:p>
        </w:tc>
        <w:tc>
          <w:tcPr>
            <w:tcW w:w="1365" w:type="dxa"/>
            <w:vMerge w:val="continue"/>
            <w:noWrap w:val="0"/>
            <w:vAlign w:val="center"/>
          </w:tcPr>
          <w:p>
            <w:pPr>
              <w:spacing w:line="280" w:lineRule="exac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0" w:hRule="atLeast"/>
          <w:jc w:val="center"/>
        </w:trPr>
        <w:tc>
          <w:tcPr>
            <w:tcW w:w="1215" w:type="dxa"/>
            <w:vMerge w:val="continue"/>
            <w:noWrap w:val="0"/>
            <w:vAlign w:val="center"/>
          </w:tcPr>
          <w:p>
            <w:pPr>
              <w:spacing w:line="280" w:lineRule="exact"/>
              <w:jc w:val="center"/>
              <w:rPr>
                <w:rFonts w:hint="eastAsia" w:ascii="仿宋" w:hAnsi="仿宋" w:eastAsia="仿宋" w:cs="仿宋"/>
                <w:szCs w:val="21"/>
              </w:rPr>
            </w:pPr>
          </w:p>
        </w:tc>
        <w:tc>
          <w:tcPr>
            <w:tcW w:w="1168" w:type="dxa"/>
            <w:noWrap w:val="0"/>
            <w:vAlign w:val="center"/>
          </w:tcPr>
          <w:p>
            <w:pPr>
              <w:spacing w:line="280" w:lineRule="exact"/>
              <w:rPr>
                <w:rFonts w:hint="eastAsia" w:ascii="仿宋" w:hAnsi="仿宋" w:eastAsia="仿宋" w:cs="仿宋"/>
                <w:szCs w:val="21"/>
              </w:rPr>
            </w:pPr>
            <w:r>
              <w:rPr>
                <w:rFonts w:hint="eastAsia" w:ascii="仿宋" w:hAnsi="仿宋" w:eastAsia="仿宋" w:cs="仿宋"/>
                <w:szCs w:val="21"/>
              </w:rPr>
              <w:t>其它</w:t>
            </w:r>
          </w:p>
        </w:tc>
        <w:tc>
          <w:tcPr>
            <w:tcW w:w="1726" w:type="dxa"/>
            <w:noWrap w:val="0"/>
            <w:vAlign w:val="center"/>
          </w:tcPr>
          <w:p>
            <w:pPr>
              <w:spacing w:line="280" w:lineRule="exact"/>
              <w:rPr>
                <w:rFonts w:hint="eastAsia" w:ascii="仿宋" w:hAnsi="仿宋" w:eastAsia="仿宋" w:cs="仿宋"/>
                <w:szCs w:val="21"/>
              </w:rPr>
            </w:pPr>
            <w:r>
              <w:rPr>
                <w:rFonts w:hint="eastAsia" w:ascii="仿宋" w:hAnsi="仿宋" w:eastAsia="仿宋" w:cs="仿宋"/>
                <w:szCs w:val="21"/>
              </w:rPr>
              <w:t>学术报告或讲座</w:t>
            </w:r>
          </w:p>
          <w:p>
            <w:pPr>
              <w:spacing w:line="280" w:lineRule="exact"/>
              <w:rPr>
                <w:rFonts w:hint="eastAsia" w:ascii="仿宋" w:hAnsi="仿宋" w:eastAsia="仿宋" w:cs="仿宋"/>
                <w:szCs w:val="21"/>
              </w:rPr>
            </w:pPr>
            <w:r>
              <w:rPr>
                <w:rFonts w:hint="eastAsia" w:ascii="仿宋" w:hAnsi="仿宋" w:eastAsia="仿宋" w:cs="仿宋"/>
                <w:szCs w:val="21"/>
              </w:rPr>
              <w:t>指导学生社团</w:t>
            </w:r>
          </w:p>
        </w:tc>
        <w:tc>
          <w:tcPr>
            <w:tcW w:w="3780" w:type="dxa"/>
            <w:noWrap w:val="0"/>
            <w:vAlign w:val="center"/>
          </w:tcPr>
          <w:p>
            <w:pPr>
              <w:spacing w:line="280" w:lineRule="exact"/>
              <w:rPr>
                <w:rFonts w:hint="eastAsia" w:ascii="仿宋" w:hAnsi="仿宋" w:eastAsia="仿宋" w:cs="仿宋"/>
                <w:szCs w:val="21"/>
              </w:rPr>
            </w:pPr>
            <w:r>
              <w:rPr>
                <w:rFonts w:hint="eastAsia" w:ascii="仿宋" w:hAnsi="仿宋" w:eastAsia="仿宋" w:cs="仿宋"/>
                <w:szCs w:val="21"/>
              </w:rPr>
              <w:t>以学校、学院审批立项为依据，每项得分3分。</w:t>
            </w:r>
          </w:p>
        </w:tc>
        <w:tc>
          <w:tcPr>
            <w:tcW w:w="1365" w:type="dxa"/>
            <w:noWrap w:val="0"/>
            <w:vAlign w:val="top"/>
          </w:tcPr>
          <w:p>
            <w:pPr>
              <w:spacing w:line="280" w:lineRule="exact"/>
              <w:ind w:firstLine="420" w:firstLineChars="200"/>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7" w:hRule="atLeast"/>
          <w:jc w:val="center"/>
        </w:trPr>
        <w:tc>
          <w:tcPr>
            <w:tcW w:w="1215" w:type="dxa"/>
            <w:vMerge w:val="restart"/>
            <w:noWrap w:val="0"/>
            <w:vAlign w:val="center"/>
          </w:tcPr>
          <w:p>
            <w:pPr>
              <w:spacing w:line="280" w:lineRule="exact"/>
              <w:jc w:val="center"/>
              <w:rPr>
                <w:rFonts w:hint="eastAsia" w:ascii="仿宋" w:hAnsi="仿宋" w:eastAsia="仿宋" w:cs="仿宋"/>
                <w:szCs w:val="21"/>
              </w:rPr>
            </w:pPr>
            <w:r>
              <w:rPr>
                <w:rFonts w:hint="eastAsia" w:ascii="仿宋" w:hAnsi="仿宋" w:eastAsia="仿宋" w:cs="仿宋"/>
                <w:szCs w:val="21"/>
              </w:rPr>
              <w:t>教学效果</w:t>
            </w:r>
          </w:p>
          <w:p>
            <w:pPr>
              <w:spacing w:line="280" w:lineRule="exact"/>
              <w:jc w:val="center"/>
              <w:rPr>
                <w:rFonts w:hint="eastAsia" w:ascii="仿宋" w:hAnsi="仿宋" w:eastAsia="仿宋" w:cs="仿宋"/>
                <w:szCs w:val="21"/>
              </w:rPr>
            </w:pPr>
            <w:r>
              <w:rPr>
                <w:rFonts w:hint="eastAsia" w:ascii="仿宋" w:hAnsi="仿宋" w:eastAsia="仿宋" w:cs="仿宋"/>
                <w:szCs w:val="21"/>
              </w:rPr>
              <w:t>（S</w:t>
            </w:r>
            <w:r>
              <w:rPr>
                <w:rFonts w:hint="eastAsia" w:ascii="仿宋" w:hAnsi="仿宋" w:eastAsia="仿宋" w:cs="仿宋"/>
                <w:szCs w:val="21"/>
                <w:vertAlign w:val="subscript"/>
              </w:rPr>
              <w:t>2</w:t>
            </w:r>
            <w:r>
              <w:rPr>
                <w:rFonts w:hint="eastAsia" w:ascii="仿宋" w:hAnsi="仿宋" w:eastAsia="仿宋" w:cs="仿宋"/>
                <w:szCs w:val="21"/>
              </w:rPr>
              <w:t>）</w:t>
            </w:r>
          </w:p>
          <w:p>
            <w:pPr>
              <w:spacing w:line="280" w:lineRule="exact"/>
              <w:jc w:val="center"/>
              <w:rPr>
                <w:rFonts w:hint="eastAsia" w:ascii="仿宋" w:hAnsi="仿宋" w:eastAsia="仿宋" w:cs="仿宋"/>
                <w:szCs w:val="21"/>
              </w:rPr>
            </w:pPr>
          </w:p>
        </w:tc>
        <w:tc>
          <w:tcPr>
            <w:tcW w:w="1168" w:type="dxa"/>
            <w:noWrap w:val="0"/>
            <w:vAlign w:val="center"/>
          </w:tcPr>
          <w:p>
            <w:pPr>
              <w:spacing w:line="280" w:lineRule="exact"/>
              <w:rPr>
                <w:rFonts w:hint="eastAsia" w:ascii="仿宋" w:hAnsi="仿宋" w:eastAsia="仿宋" w:cs="仿宋"/>
                <w:szCs w:val="21"/>
              </w:rPr>
            </w:pPr>
            <w:r>
              <w:rPr>
                <w:rFonts w:hint="eastAsia" w:ascii="仿宋" w:hAnsi="仿宋" w:eastAsia="仿宋" w:cs="仿宋"/>
                <w:szCs w:val="21"/>
              </w:rPr>
              <w:t>教学规范（s</w:t>
            </w:r>
            <w:r>
              <w:rPr>
                <w:rFonts w:hint="eastAsia" w:ascii="仿宋" w:hAnsi="仿宋" w:eastAsia="仿宋" w:cs="仿宋"/>
                <w:szCs w:val="21"/>
                <w:vertAlign w:val="subscript"/>
              </w:rPr>
              <w:t>21</w:t>
            </w:r>
            <w:r>
              <w:rPr>
                <w:rFonts w:hint="eastAsia" w:ascii="仿宋" w:hAnsi="仿宋" w:eastAsia="仿宋" w:cs="仿宋"/>
                <w:szCs w:val="21"/>
              </w:rPr>
              <w:t>）</w:t>
            </w:r>
          </w:p>
          <w:p>
            <w:pPr>
              <w:spacing w:line="280" w:lineRule="exact"/>
              <w:rPr>
                <w:rFonts w:hint="eastAsia" w:ascii="仿宋" w:hAnsi="仿宋" w:eastAsia="仿宋" w:cs="仿宋"/>
                <w:szCs w:val="21"/>
              </w:rPr>
            </w:pPr>
            <w:r>
              <w:rPr>
                <w:rFonts w:hint="eastAsia" w:ascii="仿宋" w:hAnsi="仿宋" w:eastAsia="仿宋" w:cs="仿宋"/>
                <w:szCs w:val="21"/>
              </w:rPr>
              <w:t>（30%）</w:t>
            </w:r>
          </w:p>
        </w:tc>
        <w:tc>
          <w:tcPr>
            <w:tcW w:w="1726" w:type="dxa"/>
            <w:noWrap w:val="0"/>
            <w:vAlign w:val="center"/>
          </w:tcPr>
          <w:p>
            <w:pPr>
              <w:spacing w:line="280" w:lineRule="exact"/>
              <w:rPr>
                <w:rFonts w:hint="eastAsia" w:ascii="仿宋" w:hAnsi="仿宋" w:eastAsia="仿宋" w:cs="仿宋"/>
                <w:szCs w:val="21"/>
              </w:rPr>
            </w:pPr>
            <w:r>
              <w:rPr>
                <w:rFonts w:hint="eastAsia" w:ascii="仿宋" w:hAnsi="仿宋" w:eastAsia="仿宋" w:cs="仿宋"/>
                <w:szCs w:val="21"/>
              </w:rPr>
              <w:t>大纲、教案、作业、试卷、毕业设计等</w:t>
            </w:r>
          </w:p>
        </w:tc>
        <w:tc>
          <w:tcPr>
            <w:tcW w:w="3780" w:type="dxa"/>
            <w:noWrap w:val="0"/>
            <w:vAlign w:val="center"/>
          </w:tcPr>
          <w:p>
            <w:pPr>
              <w:rPr>
                <w:rFonts w:hint="eastAsia" w:ascii="仿宋" w:hAnsi="仿宋" w:eastAsia="仿宋" w:cs="仿宋"/>
                <w:szCs w:val="21"/>
              </w:rPr>
            </w:pPr>
            <w:r>
              <w:rPr>
                <w:rFonts w:hint="eastAsia" w:ascii="仿宋" w:hAnsi="仿宋" w:eastAsia="仿宋" w:cs="仿宋"/>
                <w:szCs w:val="21"/>
              </w:rPr>
              <w:t>1.教学大纲执行情况、教案、作业（含实验报告）批改、实验实习教学计划及总结材料、调停课、成绩与教学日历递交、试卷与毕业设计（论文）等方面符合学院相关规定，满分100分；</w:t>
            </w:r>
          </w:p>
        </w:tc>
        <w:tc>
          <w:tcPr>
            <w:tcW w:w="1365" w:type="dxa"/>
            <w:noWrap w:val="0"/>
            <w:vAlign w:val="top"/>
          </w:tcPr>
          <w:p>
            <w:pPr>
              <w:spacing w:line="280" w:lineRule="exact"/>
              <w:ind w:firstLine="420" w:firstLineChars="200"/>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63" w:hRule="atLeast"/>
          <w:jc w:val="center"/>
        </w:trPr>
        <w:tc>
          <w:tcPr>
            <w:tcW w:w="1215" w:type="dxa"/>
            <w:vMerge w:val="continue"/>
            <w:noWrap w:val="0"/>
            <w:vAlign w:val="center"/>
          </w:tcPr>
          <w:p>
            <w:pPr>
              <w:spacing w:line="280" w:lineRule="exact"/>
              <w:jc w:val="center"/>
              <w:rPr>
                <w:rFonts w:hint="eastAsia" w:ascii="仿宋" w:hAnsi="仿宋" w:eastAsia="仿宋" w:cs="仿宋"/>
                <w:szCs w:val="21"/>
              </w:rPr>
            </w:pPr>
          </w:p>
        </w:tc>
        <w:tc>
          <w:tcPr>
            <w:tcW w:w="1168" w:type="dxa"/>
            <w:noWrap w:val="0"/>
            <w:vAlign w:val="center"/>
          </w:tcPr>
          <w:p>
            <w:pPr>
              <w:spacing w:line="280" w:lineRule="exact"/>
              <w:rPr>
                <w:rFonts w:hint="eastAsia" w:ascii="仿宋" w:hAnsi="仿宋" w:eastAsia="仿宋" w:cs="仿宋"/>
                <w:szCs w:val="21"/>
              </w:rPr>
            </w:pPr>
            <w:r>
              <w:rPr>
                <w:rFonts w:hint="eastAsia" w:ascii="仿宋" w:hAnsi="仿宋" w:eastAsia="仿宋" w:cs="仿宋"/>
                <w:szCs w:val="21"/>
              </w:rPr>
              <w:t>教学质量评价(s</w:t>
            </w:r>
            <w:r>
              <w:rPr>
                <w:rFonts w:hint="eastAsia" w:ascii="仿宋" w:hAnsi="仿宋" w:eastAsia="仿宋" w:cs="仿宋"/>
                <w:szCs w:val="21"/>
                <w:vertAlign w:val="subscript"/>
              </w:rPr>
              <w:t>22</w:t>
            </w:r>
            <w:r>
              <w:rPr>
                <w:rFonts w:hint="eastAsia" w:ascii="仿宋" w:hAnsi="仿宋" w:eastAsia="仿宋" w:cs="仿宋"/>
                <w:szCs w:val="21"/>
              </w:rPr>
              <w:t>)（50%）</w:t>
            </w:r>
          </w:p>
        </w:tc>
        <w:tc>
          <w:tcPr>
            <w:tcW w:w="1726" w:type="dxa"/>
            <w:noWrap w:val="0"/>
            <w:vAlign w:val="center"/>
          </w:tcPr>
          <w:p>
            <w:pPr>
              <w:spacing w:line="280" w:lineRule="exact"/>
              <w:rPr>
                <w:rFonts w:hint="eastAsia" w:ascii="仿宋" w:hAnsi="仿宋" w:eastAsia="仿宋" w:cs="仿宋"/>
                <w:szCs w:val="21"/>
              </w:rPr>
            </w:pPr>
            <w:r>
              <w:rPr>
                <w:rFonts w:hint="eastAsia" w:ascii="仿宋" w:hAnsi="仿宋" w:eastAsia="仿宋" w:cs="仿宋"/>
                <w:szCs w:val="21"/>
              </w:rPr>
              <w:t>期末网络评教</w:t>
            </w:r>
          </w:p>
          <w:p>
            <w:pPr>
              <w:spacing w:line="280" w:lineRule="exact"/>
              <w:rPr>
                <w:rFonts w:hint="eastAsia" w:ascii="仿宋" w:hAnsi="仿宋" w:eastAsia="仿宋" w:cs="仿宋"/>
                <w:szCs w:val="21"/>
              </w:rPr>
            </w:pPr>
            <w:r>
              <w:rPr>
                <w:rFonts w:hint="eastAsia" w:ascii="仿宋" w:hAnsi="仿宋" w:eastAsia="仿宋" w:cs="仿宋"/>
                <w:szCs w:val="21"/>
              </w:rPr>
              <w:t>期中网络评教</w:t>
            </w:r>
          </w:p>
          <w:p>
            <w:pPr>
              <w:spacing w:line="280" w:lineRule="exact"/>
              <w:rPr>
                <w:rFonts w:hint="eastAsia" w:ascii="仿宋" w:hAnsi="仿宋" w:eastAsia="仿宋" w:cs="仿宋"/>
                <w:szCs w:val="21"/>
                <w:highlight w:val="yellow"/>
              </w:rPr>
            </w:pPr>
            <w:r>
              <w:rPr>
                <w:rFonts w:hint="eastAsia" w:ascii="仿宋" w:hAnsi="仿宋" w:eastAsia="仿宋" w:cs="仿宋"/>
                <w:szCs w:val="21"/>
              </w:rPr>
              <w:t>（注2）</w:t>
            </w:r>
          </w:p>
        </w:tc>
        <w:tc>
          <w:tcPr>
            <w:tcW w:w="3780" w:type="dxa"/>
            <w:noWrap w:val="0"/>
            <w:vAlign w:val="center"/>
          </w:tcPr>
          <w:p>
            <w:pPr>
              <w:spacing w:line="280" w:lineRule="exact"/>
              <w:rPr>
                <w:rFonts w:hint="eastAsia" w:ascii="仿宋" w:hAnsi="仿宋" w:eastAsia="仿宋" w:cs="仿宋"/>
                <w:szCs w:val="21"/>
              </w:rPr>
            </w:pPr>
            <w:r>
              <w:rPr>
                <w:rFonts w:hint="eastAsia" w:ascii="仿宋" w:hAnsi="仿宋" w:eastAsia="仿宋" w:cs="仿宋"/>
                <w:szCs w:val="21"/>
              </w:rPr>
              <w:t>1.每学期学生评教得分=期末网络评教分*0.6+期中网络评教*0.4；</w:t>
            </w:r>
          </w:p>
          <w:p>
            <w:pPr>
              <w:spacing w:line="280" w:lineRule="exact"/>
              <w:rPr>
                <w:rFonts w:hint="eastAsia" w:ascii="仿宋" w:hAnsi="仿宋" w:eastAsia="仿宋" w:cs="仿宋"/>
                <w:szCs w:val="21"/>
              </w:rPr>
            </w:pPr>
            <w:r>
              <w:rPr>
                <w:rFonts w:hint="eastAsia" w:ascii="仿宋" w:hAnsi="仿宋" w:eastAsia="仿宋" w:cs="仿宋"/>
                <w:szCs w:val="21"/>
              </w:rPr>
              <w:t>2.学生评教（S</w:t>
            </w:r>
            <w:r>
              <w:rPr>
                <w:rFonts w:hint="eastAsia" w:ascii="仿宋" w:hAnsi="仿宋" w:eastAsia="仿宋" w:cs="仿宋"/>
                <w:szCs w:val="21"/>
                <w:vertAlign w:val="subscript"/>
              </w:rPr>
              <w:t>21</w:t>
            </w:r>
            <w:r>
              <w:rPr>
                <w:rFonts w:hint="eastAsia" w:ascii="仿宋" w:hAnsi="仿宋" w:eastAsia="仿宋" w:cs="仿宋"/>
                <w:szCs w:val="21"/>
              </w:rPr>
              <w:t>）得分取两学期平均值。</w:t>
            </w:r>
          </w:p>
          <w:p>
            <w:pPr>
              <w:tabs>
                <w:tab w:val="left" w:pos="2660"/>
              </w:tabs>
              <w:jc w:val="left"/>
              <w:rPr>
                <w:rFonts w:hint="eastAsia"/>
              </w:rPr>
            </w:pPr>
            <w:r>
              <w:rPr>
                <w:rFonts w:hint="eastAsia" w:ascii="仿宋" w:hAnsi="仿宋" w:eastAsia="仿宋" w:cs="仿宋"/>
                <w:szCs w:val="21"/>
              </w:rPr>
              <w:tab/>
            </w:r>
          </w:p>
        </w:tc>
        <w:tc>
          <w:tcPr>
            <w:tcW w:w="1365" w:type="dxa"/>
            <w:noWrap w:val="0"/>
            <w:vAlign w:val="top"/>
          </w:tcPr>
          <w:p>
            <w:pPr>
              <w:spacing w:line="280" w:lineRule="exact"/>
              <w:rPr>
                <w:rFonts w:hint="eastAsia" w:ascii="仿宋" w:hAnsi="仿宋" w:eastAsia="仿宋" w:cs="仿宋"/>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0" w:hRule="atLeast"/>
          <w:jc w:val="center"/>
        </w:trPr>
        <w:tc>
          <w:tcPr>
            <w:tcW w:w="1215" w:type="dxa"/>
            <w:vMerge w:val="continue"/>
            <w:noWrap w:val="0"/>
            <w:vAlign w:val="center"/>
          </w:tcPr>
          <w:p>
            <w:pPr>
              <w:spacing w:line="280" w:lineRule="exact"/>
              <w:jc w:val="center"/>
              <w:rPr>
                <w:rFonts w:hint="eastAsia" w:ascii="仿宋" w:hAnsi="仿宋" w:eastAsia="仿宋" w:cs="仿宋"/>
                <w:szCs w:val="21"/>
              </w:rPr>
            </w:pPr>
          </w:p>
        </w:tc>
        <w:tc>
          <w:tcPr>
            <w:tcW w:w="1168" w:type="dxa"/>
            <w:vMerge w:val="restart"/>
            <w:noWrap w:val="0"/>
            <w:vAlign w:val="center"/>
          </w:tcPr>
          <w:p>
            <w:pPr>
              <w:spacing w:line="280" w:lineRule="exact"/>
              <w:rPr>
                <w:rFonts w:hint="eastAsia" w:ascii="仿宋" w:hAnsi="仿宋" w:eastAsia="仿宋" w:cs="仿宋"/>
                <w:szCs w:val="21"/>
              </w:rPr>
            </w:pPr>
            <w:r>
              <w:rPr>
                <w:rFonts w:hint="eastAsia" w:ascii="仿宋" w:hAnsi="仿宋" w:eastAsia="仿宋" w:cs="仿宋"/>
                <w:szCs w:val="21"/>
              </w:rPr>
              <w:t>教学奖励(s</w:t>
            </w:r>
            <w:r>
              <w:rPr>
                <w:rFonts w:hint="eastAsia" w:ascii="仿宋" w:hAnsi="仿宋" w:eastAsia="仿宋" w:cs="仿宋"/>
                <w:szCs w:val="21"/>
                <w:vertAlign w:val="subscript"/>
              </w:rPr>
              <w:t>23</w:t>
            </w:r>
            <w:r>
              <w:rPr>
                <w:rFonts w:hint="eastAsia" w:ascii="仿宋" w:hAnsi="仿宋" w:eastAsia="仿宋" w:cs="仿宋"/>
                <w:szCs w:val="21"/>
              </w:rPr>
              <w:t>)(20%)</w:t>
            </w:r>
          </w:p>
        </w:tc>
        <w:tc>
          <w:tcPr>
            <w:tcW w:w="1726" w:type="dxa"/>
            <w:noWrap w:val="0"/>
            <w:vAlign w:val="center"/>
          </w:tcPr>
          <w:p>
            <w:pPr>
              <w:spacing w:line="280" w:lineRule="exact"/>
              <w:rPr>
                <w:rFonts w:hint="eastAsia" w:ascii="仿宋" w:hAnsi="仿宋" w:eastAsia="仿宋" w:cs="仿宋"/>
                <w:szCs w:val="21"/>
              </w:rPr>
            </w:pPr>
            <w:r>
              <w:rPr>
                <w:rFonts w:hint="eastAsia" w:ascii="仿宋" w:hAnsi="仿宋" w:eastAsia="仿宋" w:cs="仿宋"/>
                <w:szCs w:val="21"/>
              </w:rPr>
              <w:t>科技竞赛</w:t>
            </w:r>
          </w:p>
        </w:tc>
        <w:tc>
          <w:tcPr>
            <w:tcW w:w="3780" w:type="dxa"/>
            <w:noWrap w:val="0"/>
            <w:vAlign w:val="center"/>
          </w:tcPr>
          <w:p>
            <w:pPr>
              <w:spacing w:line="280" w:lineRule="exact"/>
              <w:rPr>
                <w:rFonts w:hint="eastAsia" w:ascii="仿宋" w:hAnsi="仿宋" w:eastAsia="仿宋" w:cs="仿宋"/>
                <w:szCs w:val="21"/>
              </w:rPr>
            </w:pPr>
            <w:r>
              <w:rPr>
                <w:rFonts w:hint="eastAsia" w:ascii="仿宋" w:hAnsi="仿宋" w:eastAsia="仿宋" w:cs="仿宋"/>
                <w:szCs w:val="21"/>
              </w:rPr>
              <w:t>1.经学院认定的一类竞赛按以下标准计分：</w:t>
            </w:r>
          </w:p>
          <w:p>
            <w:pPr>
              <w:spacing w:line="280" w:lineRule="exact"/>
              <w:rPr>
                <w:rFonts w:hint="eastAsia" w:ascii="仿宋" w:hAnsi="仿宋" w:eastAsia="仿宋" w:cs="仿宋"/>
                <w:szCs w:val="21"/>
              </w:rPr>
            </w:pPr>
            <w:r>
              <w:rPr>
                <w:rFonts w:hint="eastAsia" w:ascii="仿宋" w:hAnsi="仿宋" w:eastAsia="仿宋" w:cs="仿宋"/>
                <w:szCs w:val="21"/>
              </w:rPr>
              <w:t>①国家级比赛：一等奖60分，二等奖40分，三等奖20分，优胜奖10分；</w:t>
            </w:r>
          </w:p>
          <w:p>
            <w:pPr>
              <w:spacing w:line="280" w:lineRule="exact"/>
              <w:rPr>
                <w:rFonts w:hint="eastAsia" w:ascii="仿宋" w:hAnsi="仿宋" w:eastAsia="仿宋" w:cs="仿宋"/>
                <w:szCs w:val="21"/>
              </w:rPr>
            </w:pPr>
            <w:r>
              <w:rPr>
                <w:rFonts w:hint="eastAsia" w:ascii="仿宋" w:hAnsi="仿宋" w:eastAsia="仿宋" w:cs="仿宋"/>
                <w:szCs w:val="21"/>
              </w:rPr>
              <w:t>②省部级比赛：一等奖40分，二等奖20分，三等奖10分，优胜奖5分；</w:t>
            </w:r>
          </w:p>
          <w:p>
            <w:pPr>
              <w:spacing w:line="280" w:lineRule="exact"/>
              <w:rPr>
                <w:rFonts w:hint="eastAsia" w:ascii="仿宋" w:hAnsi="仿宋" w:eastAsia="仿宋" w:cs="仿宋"/>
                <w:szCs w:val="21"/>
              </w:rPr>
            </w:pPr>
            <w:r>
              <w:rPr>
                <w:rFonts w:ascii="仿宋" w:hAnsi="仿宋" w:eastAsia="仿宋" w:cs="仿宋"/>
                <w:szCs w:val="21"/>
              </w:rPr>
              <w:t>③</w:t>
            </w:r>
            <w:r>
              <w:rPr>
                <w:rFonts w:hint="eastAsia" w:ascii="仿宋" w:hAnsi="仿宋" w:eastAsia="仿宋" w:cs="仿宋"/>
                <w:szCs w:val="21"/>
              </w:rPr>
              <w:t>市级比赛：</w:t>
            </w:r>
          </w:p>
          <w:p>
            <w:pPr>
              <w:spacing w:line="280" w:lineRule="exact"/>
              <w:rPr>
                <w:rFonts w:hint="eastAsia" w:ascii="仿宋" w:hAnsi="仿宋" w:eastAsia="仿宋" w:cs="仿宋"/>
                <w:szCs w:val="21"/>
              </w:rPr>
            </w:pPr>
            <w:r>
              <w:rPr>
                <w:rFonts w:hint="eastAsia" w:ascii="仿宋" w:hAnsi="仿宋" w:eastAsia="仿宋" w:cs="仿宋"/>
                <w:szCs w:val="21"/>
              </w:rPr>
              <w:t>一等奖10分，二等奖5分，三等奖3分；</w:t>
            </w:r>
          </w:p>
          <w:p>
            <w:pPr>
              <w:spacing w:line="280" w:lineRule="exact"/>
              <w:rPr>
                <w:rFonts w:hint="eastAsia" w:ascii="仿宋" w:hAnsi="仿宋" w:eastAsia="仿宋" w:cs="仿宋"/>
                <w:szCs w:val="21"/>
              </w:rPr>
            </w:pPr>
            <w:r>
              <w:rPr>
                <w:rFonts w:hint="eastAsia" w:ascii="仿宋" w:hAnsi="仿宋" w:eastAsia="仿宋" w:cs="仿宋"/>
                <w:szCs w:val="21"/>
              </w:rPr>
              <w:t>2.经学院认定的二、三类竞赛按以下标准计分：</w:t>
            </w:r>
          </w:p>
          <w:p>
            <w:pPr>
              <w:spacing w:line="280" w:lineRule="exact"/>
              <w:rPr>
                <w:rFonts w:hint="eastAsia" w:ascii="仿宋" w:hAnsi="仿宋" w:eastAsia="仿宋" w:cs="仿宋"/>
                <w:szCs w:val="21"/>
              </w:rPr>
            </w:pPr>
            <w:r>
              <w:rPr>
                <w:rFonts w:hint="eastAsia" w:ascii="仿宋" w:hAnsi="仿宋" w:eastAsia="仿宋" w:cs="仿宋"/>
                <w:szCs w:val="21"/>
              </w:rPr>
              <w:t>①国家级比赛：一等奖30分，二等奖20分，三等奖10分，优胜奖5分；</w:t>
            </w:r>
          </w:p>
          <w:p>
            <w:pPr>
              <w:spacing w:line="280" w:lineRule="exact"/>
              <w:rPr>
                <w:rFonts w:hint="eastAsia" w:ascii="仿宋" w:hAnsi="仿宋" w:eastAsia="仿宋" w:cs="仿宋"/>
                <w:szCs w:val="21"/>
              </w:rPr>
            </w:pPr>
            <w:r>
              <w:rPr>
                <w:rFonts w:hint="eastAsia" w:ascii="仿宋" w:hAnsi="仿宋" w:eastAsia="仿宋" w:cs="仿宋"/>
                <w:szCs w:val="21"/>
              </w:rPr>
              <w:t>②省部级比赛：一等奖20分，二等奖10分，三等奖5分，优胜奖3分；</w:t>
            </w:r>
          </w:p>
          <w:p>
            <w:pPr>
              <w:spacing w:line="280" w:lineRule="exact"/>
              <w:rPr>
                <w:rFonts w:hint="eastAsia" w:ascii="仿宋" w:hAnsi="仿宋" w:eastAsia="仿宋" w:cs="仿宋"/>
                <w:szCs w:val="21"/>
              </w:rPr>
            </w:pPr>
            <w:r>
              <w:rPr>
                <w:rFonts w:ascii="仿宋" w:hAnsi="仿宋" w:eastAsia="仿宋" w:cs="仿宋"/>
                <w:szCs w:val="21"/>
              </w:rPr>
              <w:t>③</w:t>
            </w:r>
            <w:r>
              <w:rPr>
                <w:rFonts w:hint="eastAsia" w:ascii="仿宋" w:hAnsi="仿宋" w:eastAsia="仿宋" w:cs="仿宋"/>
                <w:szCs w:val="21"/>
              </w:rPr>
              <w:t>市级比赛：一等奖5分，二等奖3分，三等奖1分；</w:t>
            </w:r>
          </w:p>
        </w:tc>
        <w:tc>
          <w:tcPr>
            <w:tcW w:w="1365" w:type="dxa"/>
            <w:vMerge w:val="restart"/>
            <w:noWrap w:val="0"/>
            <w:vAlign w:val="center"/>
          </w:tcPr>
          <w:p>
            <w:pPr>
              <w:spacing w:line="280" w:lineRule="exact"/>
              <w:rPr>
                <w:rFonts w:hint="eastAsia" w:ascii="仿宋" w:hAnsi="仿宋" w:eastAsia="仿宋" w:cs="仿宋"/>
                <w:szCs w:val="21"/>
              </w:rPr>
            </w:pPr>
            <w:r>
              <w:rPr>
                <w:rFonts w:hint="eastAsia" w:ascii="仿宋" w:hAnsi="仿宋" w:eastAsia="仿宋" w:cs="仿宋"/>
                <w:szCs w:val="21"/>
              </w:rPr>
              <w:t>1.教学奖励获奖当年给予加分，同一项目获奖按最高奖项计分，不重复加分；不同项目获奖记分累积。</w:t>
            </w:r>
          </w:p>
          <w:p>
            <w:pPr>
              <w:spacing w:line="280" w:lineRule="exact"/>
              <w:rPr>
                <w:rFonts w:hint="eastAsia" w:ascii="仿宋" w:hAnsi="仿宋" w:eastAsia="仿宋" w:cs="仿宋"/>
                <w:szCs w:val="21"/>
              </w:rPr>
            </w:pPr>
            <w:r>
              <w:rPr>
                <w:rFonts w:hint="eastAsia" w:ascii="仿宋" w:hAnsi="仿宋" w:eastAsia="仿宋" w:cs="仿宋"/>
                <w:szCs w:val="21"/>
              </w:rPr>
              <w:t>2.科技竞赛的获奖级别以教务与科技部的标准认定。</w:t>
            </w:r>
          </w:p>
          <w:p>
            <w:pPr>
              <w:spacing w:line="280" w:lineRule="exact"/>
              <w:rPr>
                <w:rFonts w:hint="eastAsia" w:ascii="仿宋" w:hAnsi="仿宋" w:eastAsia="仿宋" w:cs="仿宋"/>
                <w:szCs w:val="21"/>
              </w:rPr>
            </w:pPr>
            <w:r>
              <w:rPr>
                <w:rFonts w:hint="eastAsia" w:ascii="仿宋" w:hAnsi="仿宋" w:eastAsia="仿宋" w:cs="仿宋"/>
                <w:szCs w:val="21"/>
              </w:rPr>
              <w:t>3.多人参与的项目得分的分配原则参见（注3）。</w:t>
            </w:r>
          </w:p>
          <w:p>
            <w:pPr>
              <w:spacing w:line="280" w:lineRule="exact"/>
              <w:rPr>
                <w:rFonts w:hint="eastAsia" w:ascii="仿宋" w:hAnsi="仿宋" w:eastAsia="仿宋" w:cs="仿宋"/>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8" w:hRule="atLeast"/>
          <w:jc w:val="center"/>
        </w:trPr>
        <w:tc>
          <w:tcPr>
            <w:tcW w:w="1215" w:type="dxa"/>
            <w:vMerge w:val="continue"/>
            <w:noWrap w:val="0"/>
            <w:vAlign w:val="center"/>
          </w:tcPr>
          <w:p>
            <w:pPr>
              <w:spacing w:line="280" w:lineRule="exact"/>
              <w:jc w:val="center"/>
              <w:rPr>
                <w:rFonts w:hint="eastAsia" w:ascii="仿宋" w:hAnsi="仿宋" w:eastAsia="仿宋" w:cs="仿宋"/>
                <w:szCs w:val="21"/>
              </w:rPr>
            </w:pPr>
          </w:p>
        </w:tc>
        <w:tc>
          <w:tcPr>
            <w:tcW w:w="1168" w:type="dxa"/>
            <w:vMerge w:val="continue"/>
            <w:noWrap w:val="0"/>
            <w:vAlign w:val="center"/>
          </w:tcPr>
          <w:p>
            <w:pPr>
              <w:spacing w:line="280" w:lineRule="exact"/>
              <w:rPr>
                <w:rFonts w:hint="eastAsia" w:ascii="仿宋" w:hAnsi="仿宋" w:eastAsia="仿宋" w:cs="仿宋"/>
                <w:szCs w:val="21"/>
              </w:rPr>
            </w:pPr>
          </w:p>
        </w:tc>
        <w:tc>
          <w:tcPr>
            <w:tcW w:w="1726" w:type="dxa"/>
            <w:noWrap w:val="0"/>
            <w:vAlign w:val="center"/>
          </w:tcPr>
          <w:p>
            <w:pPr>
              <w:spacing w:line="280" w:lineRule="exact"/>
              <w:rPr>
                <w:rFonts w:hint="eastAsia" w:ascii="仿宋" w:hAnsi="仿宋" w:eastAsia="仿宋" w:cs="仿宋"/>
                <w:szCs w:val="21"/>
              </w:rPr>
            </w:pPr>
            <w:r>
              <w:rPr>
                <w:rFonts w:hint="eastAsia" w:ascii="仿宋" w:hAnsi="仿宋" w:eastAsia="仿宋" w:cs="仿宋"/>
                <w:szCs w:val="21"/>
              </w:rPr>
              <w:t>论文、专利、项目</w:t>
            </w:r>
          </w:p>
        </w:tc>
        <w:tc>
          <w:tcPr>
            <w:tcW w:w="3780" w:type="dxa"/>
            <w:noWrap w:val="0"/>
            <w:vAlign w:val="center"/>
          </w:tcPr>
          <w:p>
            <w:pPr>
              <w:spacing w:line="280" w:lineRule="exact"/>
              <w:rPr>
                <w:rFonts w:hint="eastAsia" w:ascii="仿宋" w:hAnsi="仿宋" w:eastAsia="仿宋" w:cs="仿宋"/>
                <w:kern w:val="0"/>
                <w:szCs w:val="21"/>
              </w:rPr>
            </w:pPr>
            <w:r>
              <w:rPr>
                <w:rFonts w:hint="eastAsia" w:ascii="仿宋" w:hAnsi="仿宋" w:eastAsia="仿宋" w:cs="仿宋"/>
                <w:szCs w:val="21"/>
              </w:rPr>
              <w:t>1.</w:t>
            </w:r>
            <w:r>
              <w:rPr>
                <w:rFonts w:hint="eastAsia" w:ascii="仿宋" w:hAnsi="仿宋" w:eastAsia="仿宋" w:cs="仿宋"/>
                <w:bCs/>
                <w:kern w:val="0"/>
                <w:szCs w:val="21"/>
              </w:rPr>
              <w:t>发表论文：</w:t>
            </w:r>
            <w:r>
              <w:rPr>
                <w:rFonts w:hint="eastAsia" w:ascii="仿宋" w:hAnsi="仿宋" w:eastAsia="仿宋" w:cs="仿宋"/>
                <w:kern w:val="0"/>
                <w:szCs w:val="21"/>
              </w:rPr>
              <w:t>指导本院学生以第一作者在一级期刊发表学术论文得20分</w:t>
            </w:r>
            <w:r>
              <w:rPr>
                <w:rFonts w:hint="eastAsia" w:ascii="仿宋" w:hAnsi="仿宋" w:eastAsia="仿宋" w:cs="仿宋"/>
                <w:szCs w:val="21"/>
              </w:rPr>
              <w:t>/篇</w:t>
            </w:r>
            <w:r>
              <w:rPr>
                <w:rFonts w:hint="eastAsia" w:ascii="仿宋" w:hAnsi="仿宋" w:eastAsia="仿宋" w:cs="仿宋"/>
                <w:kern w:val="0"/>
                <w:szCs w:val="21"/>
              </w:rPr>
              <w:t>，指导本院学生以第一作者在核心期刊发表学术论文得10分</w:t>
            </w:r>
            <w:r>
              <w:rPr>
                <w:rFonts w:hint="eastAsia" w:ascii="仿宋" w:hAnsi="仿宋" w:eastAsia="仿宋" w:cs="仿宋"/>
                <w:szCs w:val="21"/>
              </w:rPr>
              <w:t>/篇</w:t>
            </w:r>
            <w:r>
              <w:rPr>
                <w:rFonts w:hint="eastAsia" w:ascii="仿宋" w:hAnsi="仿宋" w:eastAsia="仿宋" w:cs="仿宋"/>
                <w:kern w:val="0"/>
                <w:szCs w:val="21"/>
              </w:rPr>
              <w:t>，指导本院学生以第一作者在一般期刊发表学术论文得3分</w:t>
            </w:r>
            <w:r>
              <w:rPr>
                <w:rFonts w:hint="eastAsia" w:ascii="仿宋" w:hAnsi="仿宋" w:eastAsia="仿宋" w:cs="仿宋"/>
                <w:szCs w:val="21"/>
              </w:rPr>
              <w:t>/篇</w:t>
            </w:r>
            <w:r>
              <w:rPr>
                <w:rFonts w:hint="eastAsia" w:ascii="仿宋" w:hAnsi="仿宋" w:eastAsia="仿宋" w:cs="仿宋"/>
                <w:kern w:val="0"/>
                <w:szCs w:val="21"/>
              </w:rPr>
              <w:t>；</w:t>
            </w:r>
            <w:r>
              <w:rPr>
                <w:rFonts w:hint="eastAsia" w:ascii="仿宋" w:hAnsi="仿宋" w:eastAsia="仿宋" w:cs="仿宋"/>
                <w:szCs w:val="21"/>
              </w:rPr>
              <w:t>（注4）</w:t>
            </w:r>
          </w:p>
          <w:p>
            <w:pPr>
              <w:spacing w:line="280" w:lineRule="exact"/>
              <w:rPr>
                <w:rFonts w:hint="eastAsia" w:ascii="仿宋" w:hAnsi="仿宋" w:eastAsia="仿宋" w:cs="仿宋"/>
                <w:kern w:val="0"/>
                <w:szCs w:val="21"/>
              </w:rPr>
            </w:pPr>
            <w:r>
              <w:rPr>
                <w:rFonts w:hint="eastAsia" w:ascii="仿宋" w:hAnsi="仿宋" w:eastAsia="仿宋" w:cs="仿宋"/>
                <w:szCs w:val="21"/>
              </w:rPr>
              <w:t>2.毕业设计（论文）：指导学生毕业设计（论文）获学院优秀奖励3分/篇；</w:t>
            </w:r>
          </w:p>
          <w:p>
            <w:pPr>
              <w:spacing w:line="280" w:lineRule="exact"/>
              <w:rPr>
                <w:rFonts w:hint="eastAsia" w:ascii="仿宋" w:hAnsi="仿宋" w:eastAsia="仿宋" w:cs="仿宋"/>
                <w:szCs w:val="21"/>
              </w:rPr>
            </w:pPr>
            <w:r>
              <w:rPr>
                <w:rFonts w:hint="eastAsia" w:ascii="仿宋" w:hAnsi="仿宋" w:eastAsia="仿宋" w:cs="仿宋"/>
                <w:szCs w:val="21"/>
              </w:rPr>
              <w:t>3.指导本院学生以第一作者获发明专利得30分/项、软件著作权得5分/项、实用新型专利得5分/项、外观专利得1分/项，其中外观专利年度最多总计5分。指导学生通过工程技术学院申报发明专利3分/项。</w:t>
            </w:r>
          </w:p>
          <w:p>
            <w:pPr>
              <w:spacing w:line="280" w:lineRule="exact"/>
              <w:rPr>
                <w:rFonts w:hint="eastAsia" w:ascii="仿宋" w:hAnsi="仿宋" w:eastAsia="仿宋" w:cs="仿宋"/>
                <w:szCs w:val="21"/>
              </w:rPr>
            </w:pPr>
            <w:r>
              <w:rPr>
                <w:rFonts w:hint="eastAsia" w:ascii="仿宋" w:hAnsi="仿宋" w:eastAsia="仿宋" w:cs="仿宋"/>
                <w:szCs w:val="21"/>
              </w:rPr>
              <w:t>4.项目：指导学生立项大学生科技训练等项目得分：国家级20分/项，省部级10分/项，市院级5分/项；指导学生申报2分/项（同类项目限2项）。</w:t>
            </w:r>
          </w:p>
        </w:tc>
        <w:tc>
          <w:tcPr>
            <w:tcW w:w="1365" w:type="dxa"/>
            <w:vMerge w:val="continue"/>
            <w:noWrap w:val="0"/>
            <w:vAlign w:val="top"/>
          </w:tcPr>
          <w:p>
            <w:pPr>
              <w:spacing w:line="280" w:lineRule="exact"/>
              <w:ind w:firstLine="420" w:firstLineChars="200"/>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35" w:hRule="atLeast"/>
          <w:jc w:val="center"/>
        </w:trPr>
        <w:tc>
          <w:tcPr>
            <w:tcW w:w="1215" w:type="dxa"/>
            <w:vMerge w:val="continue"/>
            <w:noWrap w:val="0"/>
            <w:vAlign w:val="center"/>
          </w:tcPr>
          <w:p>
            <w:pPr>
              <w:spacing w:line="280" w:lineRule="exact"/>
              <w:jc w:val="center"/>
              <w:rPr>
                <w:rFonts w:hint="eastAsia" w:ascii="仿宋" w:hAnsi="仿宋" w:eastAsia="仿宋" w:cs="仿宋"/>
                <w:szCs w:val="21"/>
              </w:rPr>
            </w:pPr>
          </w:p>
        </w:tc>
        <w:tc>
          <w:tcPr>
            <w:tcW w:w="1168" w:type="dxa"/>
            <w:vMerge w:val="continue"/>
            <w:noWrap w:val="0"/>
            <w:vAlign w:val="center"/>
          </w:tcPr>
          <w:p>
            <w:pPr>
              <w:spacing w:line="280" w:lineRule="exact"/>
              <w:rPr>
                <w:rFonts w:hint="eastAsia" w:ascii="仿宋" w:hAnsi="仿宋" w:eastAsia="仿宋" w:cs="仿宋"/>
                <w:szCs w:val="21"/>
              </w:rPr>
            </w:pPr>
          </w:p>
        </w:tc>
        <w:tc>
          <w:tcPr>
            <w:tcW w:w="1726" w:type="dxa"/>
            <w:noWrap w:val="0"/>
            <w:vAlign w:val="center"/>
          </w:tcPr>
          <w:p>
            <w:pPr>
              <w:spacing w:line="280" w:lineRule="exact"/>
              <w:rPr>
                <w:rFonts w:hint="eastAsia" w:ascii="仿宋" w:hAnsi="仿宋" w:eastAsia="仿宋" w:cs="仿宋"/>
                <w:szCs w:val="21"/>
              </w:rPr>
            </w:pPr>
            <w:r>
              <w:rPr>
                <w:rFonts w:hint="eastAsia" w:ascii="仿宋" w:hAnsi="仿宋" w:eastAsia="仿宋" w:cs="仿宋"/>
                <w:szCs w:val="21"/>
              </w:rPr>
              <w:t>其他活动</w:t>
            </w:r>
          </w:p>
        </w:tc>
        <w:tc>
          <w:tcPr>
            <w:tcW w:w="3780" w:type="dxa"/>
            <w:noWrap w:val="0"/>
            <w:vAlign w:val="center"/>
          </w:tcPr>
          <w:p>
            <w:pPr>
              <w:widowControl/>
              <w:tabs>
                <w:tab w:val="left" w:pos="900"/>
              </w:tabs>
              <w:spacing w:line="300" w:lineRule="exact"/>
              <w:ind w:left="-17" w:right="-86" w:rightChars="-41"/>
              <w:rPr>
                <w:rFonts w:hint="eastAsia" w:ascii="仿宋" w:hAnsi="仿宋" w:eastAsia="仿宋" w:cs="仿宋"/>
                <w:szCs w:val="21"/>
              </w:rPr>
            </w:pPr>
            <w:r>
              <w:rPr>
                <w:rFonts w:hint="eastAsia" w:ascii="仿宋" w:hAnsi="仿宋" w:eastAsia="仿宋" w:cs="仿宋"/>
                <w:szCs w:val="21"/>
              </w:rPr>
              <w:t>1.获国家级一、二、三等奖得分分别为30、20、10分/项，获优秀奖得分为5分/项。</w:t>
            </w:r>
          </w:p>
          <w:p>
            <w:pPr>
              <w:widowControl/>
              <w:tabs>
                <w:tab w:val="left" w:pos="900"/>
              </w:tabs>
              <w:spacing w:line="300" w:lineRule="exact"/>
              <w:ind w:left="-17" w:right="-86" w:rightChars="-41"/>
              <w:rPr>
                <w:rFonts w:hint="eastAsia" w:ascii="仿宋" w:hAnsi="仿宋" w:eastAsia="仿宋" w:cs="仿宋"/>
                <w:szCs w:val="21"/>
              </w:rPr>
            </w:pPr>
            <w:r>
              <w:rPr>
                <w:rFonts w:hint="eastAsia" w:ascii="仿宋" w:hAnsi="仿宋" w:eastAsia="仿宋" w:cs="仿宋"/>
                <w:szCs w:val="21"/>
              </w:rPr>
              <w:t>2.获省部级一、二、三等奖得分分别为20、10、5分/项，获优秀奖得分为3分/项；</w:t>
            </w:r>
          </w:p>
          <w:p>
            <w:pPr>
              <w:spacing w:line="280" w:lineRule="exact"/>
              <w:rPr>
                <w:rFonts w:hint="eastAsia" w:ascii="仿宋" w:hAnsi="仿宋" w:eastAsia="仿宋" w:cs="仿宋"/>
                <w:szCs w:val="21"/>
              </w:rPr>
            </w:pPr>
            <w:r>
              <w:rPr>
                <w:rFonts w:hint="eastAsia" w:ascii="仿宋" w:hAnsi="仿宋" w:eastAsia="仿宋" w:cs="仿宋"/>
                <w:szCs w:val="21"/>
              </w:rPr>
              <w:t>3.指导学生社会实践团体获奖，国家级10分、省部级5分、市校级3分。</w:t>
            </w:r>
          </w:p>
        </w:tc>
        <w:tc>
          <w:tcPr>
            <w:tcW w:w="1365" w:type="dxa"/>
            <w:vMerge w:val="continue"/>
            <w:noWrap w:val="0"/>
            <w:vAlign w:val="top"/>
          </w:tcPr>
          <w:p>
            <w:pPr>
              <w:spacing w:line="280" w:lineRule="exact"/>
              <w:ind w:firstLine="420" w:firstLineChars="200"/>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8" w:hRule="atLeast"/>
          <w:jc w:val="center"/>
        </w:trPr>
        <w:tc>
          <w:tcPr>
            <w:tcW w:w="1215" w:type="dxa"/>
            <w:vMerge w:val="continue"/>
            <w:noWrap w:val="0"/>
            <w:vAlign w:val="center"/>
          </w:tcPr>
          <w:p>
            <w:pPr>
              <w:spacing w:line="280" w:lineRule="exact"/>
              <w:jc w:val="center"/>
              <w:rPr>
                <w:rFonts w:hint="eastAsia" w:ascii="仿宋" w:hAnsi="仿宋" w:eastAsia="仿宋" w:cs="仿宋"/>
                <w:szCs w:val="21"/>
              </w:rPr>
            </w:pPr>
          </w:p>
        </w:tc>
        <w:tc>
          <w:tcPr>
            <w:tcW w:w="1168" w:type="dxa"/>
            <w:vMerge w:val="continue"/>
            <w:noWrap w:val="0"/>
            <w:vAlign w:val="center"/>
          </w:tcPr>
          <w:p>
            <w:pPr>
              <w:spacing w:line="280" w:lineRule="exact"/>
              <w:rPr>
                <w:rFonts w:hint="eastAsia" w:ascii="仿宋" w:hAnsi="仿宋" w:eastAsia="仿宋" w:cs="仿宋"/>
                <w:szCs w:val="21"/>
              </w:rPr>
            </w:pPr>
          </w:p>
        </w:tc>
        <w:tc>
          <w:tcPr>
            <w:tcW w:w="1726" w:type="dxa"/>
            <w:noWrap w:val="0"/>
            <w:vAlign w:val="center"/>
          </w:tcPr>
          <w:p>
            <w:pPr>
              <w:spacing w:line="280" w:lineRule="exact"/>
              <w:rPr>
                <w:rFonts w:hint="eastAsia" w:ascii="仿宋" w:hAnsi="仿宋" w:eastAsia="仿宋" w:cs="仿宋"/>
                <w:szCs w:val="21"/>
              </w:rPr>
            </w:pPr>
            <w:r>
              <w:rPr>
                <w:rFonts w:hint="eastAsia" w:ascii="仿宋" w:hAnsi="仿宋" w:eastAsia="仿宋" w:cs="仿宋"/>
                <w:szCs w:val="21"/>
              </w:rPr>
              <w:t>教学成果奖</w:t>
            </w:r>
          </w:p>
        </w:tc>
        <w:tc>
          <w:tcPr>
            <w:tcW w:w="3780" w:type="dxa"/>
            <w:noWrap w:val="0"/>
            <w:vAlign w:val="center"/>
          </w:tcPr>
          <w:p>
            <w:pPr>
              <w:spacing w:line="280" w:lineRule="exact"/>
              <w:rPr>
                <w:rFonts w:hint="eastAsia" w:ascii="仿宋" w:hAnsi="仿宋" w:eastAsia="仿宋" w:cs="仿宋"/>
                <w:szCs w:val="21"/>
              </w:rPr>
            </w:pPr>
            <w:r>
              <w:rPr>
                <w:rFonts w:hint="eastAsia" w:ascii="仿宋" w:hAnsi="仿宋" w:eastAsia="仿宋" w:cs="仿宋"/>
                <w:szCs w:val="21"/>
              </w:rPr>
              <w:t>1.国家级一等奖200分/项，二等奖100分/项；</w:t>
            </w:r>
          </w:p>
          <w:p>
            <w:pPr>
              <w:spacing w:line="280" w:lineRule="exact"/>
              <w:rPr>
                <w:rFonts w:hint="eastAsia" w:ascii="仿宋" w:hAnsi="仿宋" w:eastAsia="仿宋" w:cs="仿宋"/>
                <w:szCs w:val="21"/>
              </w:rPr>
            </w:pPr>
            <w:r>
              <w:rPr>
                <w:rFonts w:hint="eastAsia" w:ascii="仿宋" w:hAnsi="仿宋" w:eastAsia="仿宋" w:cs="仿宋"/>
                <w:szCs w:val="21"/>
              </w:rPr>
              <w:t>2.省级一等级100分/项，二等奖50分/项；</w:t>
            </w:r>
          </w:p>
          <w:p>
            <w:pPr>
              <w:spacing w:line="280" w:lineRule="exact"/>
              <w:rPr>
                <w:rFonts w:hint="eastAsia" w:ascii="仿宋" w:hAnsi="仿宋" w:eastAsia="仿宋" w:cs="仿宋"/>
                <w:szCs w:val="21"/>
              </w:rPr>
            </w:pPr>
            <w:r>
              <w:rPr>
                <w:rFonts w:hint="eastAsia" w:ascii="仿宋" w:hAnsi="仿宋" w:eastAsia="仿宋" w:cs="仿宋"/>
                <w:szCs w:val="21"/>
              </w:rPr>
              <w:t>3.市校级一等奖50分/项，二等奖30分/项；</w:t>
            </w:r>
          </w:p>
          <w:p>
            <w:pPr>
              <w:spacing w:line="280" w:lineRule="exact"/>
              <w:rPr>
                <w:rFonts w:hint="eastAsia" w:ascii="仿宋" w:hAnsi="仿宋" w:eastAsia="仿宋" w:cs="仿宋"/>
                <w:szCs w:val="21"/>
              </w:rPr>
            </w:pPr>
            <w:r>
              <w:rPr>
                <w:rFonts w:hint="eastAsia" w:ascii="仿宋" w:hAnsi="仿宋" w:eastAsia="仿宋" w:cs="仿宋"/>
                <w:szCs w:val="21"/>
              </w:rPr>
              <w:t>4.院级一等级30分/项，二等奖20分/项；</w:t>
            </w:r>
          </w:p>
        </w:tc>
        <w:tc>
          <w:tcPr>
            <w:tcW w:w="1365" w:type="dxa"/>
            <w:vMerge w:val="continue"/>
            <w:noWrap w:val="0"/>
            <w:vAlign w:val="top"/>
          </w:tcPr>
          <w:p>
            <w:pPr>
              <w:spacing w:line="280" w:lineRule="exact"/>
              <w:ind w:firstLine="420" w:firstLineChars="200"/>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8" w:hRule="atLeast"/>
          <w:jc w:val="center"/>
        </w:trPr>
        <w:tc>
          <w:tcPr>
            <w:tcW w:w="1215" w:type="dxa"/>
            <w:vMerge w:val="continue"/>
            <w:noWrap w:val="0"/>
            <w:vAlign w:val="center"/>
          </w:tcPr>
          <w:p>
            <w:pPr>
              <w:spacing w:line="280" w:lineRule="exact"/>
              <w:jc w:val="center"/>
              <w:rPr>
                <w:rFonts w:hint="eastAsia" w:ascii="仿宋" w:hAnsi="仿宋" w:eastAsia="仿宋" w:cs="仿宋"/>
                <w:szCs w:val="21"/>
              </w:rPr>
            </w:pPr>
          </w:p>
        </w:tc>
        <w:tc>
          <w:tcPr>
            <w:tcW w:w="1168" w:type="dxa"/>
            <w:vMerge w:val="continue"/>
            <w:noWrap w:val="0"/>
            <w:vAlign w:val="center"/>
          </w:tcPr>
          <w:p>
            <w:pPr>
              <w:spacing w:line="280" w:lineRule="exact"/>
              <w:rPr>
                <w:rFonts w:hint="eastAsia" w:ascii="仿宋" w:hAnsi="仿宋" w:eastAsia="仿宋" w:cs="仿宋"/>
                <w:szCs w:val="21"/>
              </w:rPr>
            </w:pPr>
          </w:p>
        </w:tc>
        <w:tc>
          <w:tcPr>
            <w:tcW w:w="1726" w:type="dxa"/>
            <w:noWrap w:val="0"/>
            <w:vAlign w:val="center"/>
          </w:tcPr>
          <w:p>
            <w:pPr>
              <w:spacing w:line="280" w:lineRule="exact"/>
              <w:rPr>
                <w:rFonts w:hint="eastAsia" w:ascii="仿宋" w:hAnsi="仿宋" w:eastAsia="仿宋" w:cs="仿宋"/>
                <w:szCs w:val="21"/>
              </w:rPr>
            </w:pPr>
            <w:r>
              <w:rPr>
                <w:rFonts w:hint="eastAsia" w:ascii="仿宋" w:hAnsi="仿宋" w:eastAsia="仿宋" w:cs="仿宋"/>
                <w:szCs w:val="21"/>
              </w:rPr>
              <w:t>教学名师（优秀教师）、教坛新秀等教学荣誉</w:t>
            </w:r>
          </w:p>
        </w:tc>
        <w:tc>
          <w:tcPr>
            <w:tcW w:w="3780" w:type="dxa"/>
            <w:noWrap w:val="0"/>
            <w:vAlign w:val="center"/>
          </w:tcPr>
          <w:p>
            <w:pPr>
              <w:spacing w:line="280" w:lineRule="exact"/>
              <w:rPr>
                <w:rFonts w:hint="eastAsia" w:ascii="仿宋" w:hAnsi="仿宋" w:eastAsia="仿宋" w:cs="仿宋"/>
                <w:szCs w:val="21"/>
              </w:rPr>
            </w:pPr>
            <w:r>
              <w:rPr>
                <w:rFonts w:hint="eastAsia" w:ascii="仿宋" w:hAnsi="仿宋" w:eastAsia="仿宋" w:cs="仿宋"/>
                <w:szCs w:val="21"/>
              </w:rPr>
              <w:t>1. 国家级教学名师（优秀教师）100分；省级教学名师（优秀教师）50分；市校级教学名师20分；</w:t>
            </w:r>
          </w:p>
          <w:p>
            <w:pPr>
              <w:spacing w:line="280" w:lineRule="exact"/>
              <w:rPr>
                <w:rFonts w:hint="eastAsia" w:ascii="仿宋" w:hAnsi="仿宋" w:eastAsia="仿宋" w:cs="仿宋"/>
                <w:szCs w:val="21"/>
              </w:rPr>
            </w:pPr>
            <w:r>
              <w:rPr>
                <w:rFonts w:hint="eastAsia" w:ascii="仿宋" w:hAnsi="仿宋" w:eastAsia="仿宋" w:cs="仿宋"/>
                <w:szCs w:val="21"/>
              </w:rPr>
              <w:t>2. 省级教坛新秀40分，市级教坛新秀25分，校级教坛新秀15分。</w:t>
            </w:r>
          </w:p>
        </w:tc>
        <w:tc>
          <w:tcPr>
            <w:tcW w:w="1365" w:type="dxa"/>
            <w:noWrap w:val="0"/>
            <w:vAlign w:val="top"/>
          </w:tcPr>
          <w:p>
            <w:pPr>
              <w:spacing w:line="280" w:lineRule="exact"/>
              <w:ind w:firstLine="420" w:firstLineChars="200"/>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8" w:hRule="atLeast"/>
          <w:jc w:val="center"/>
        </w:trPr>
        <w:tc>
          <w:tcPr>
            <w:tcW w:w="1215" w:type="dxa"/>
            <w:vMerge w:val="continue"/>
            <w:noWrap w:val="0"/>
            <w:vAlign w:val="center"/>
          </w:tcPr>
          <w:p>
            <w:pPr>
              <w:spacing w:line="280" w:lineRule="exact"/>
              <w:jc w:val="center"/>
              <w:rPr>
                <w:rFonts w:hint="eastAsia" w:ascii="仿宋" w:hAnsi="仿宋" w:eastAsia="仿宋" w:cs="仿宋"/>
                <w:szCs w:val="21"/>
              </w:rPr>
            </w:pPr>
          </w:p>
        </w:tc>
        <w:tc>
          <w:tcPr>
            <w:tcW w:w="1168" w:type="dxa"/>
            <w:vMerge w:val="continue"/>
            <w:noWrap w:val="0"/>
            <w:vAlign w:val="center"/>
          </w:tcPr>
          <w:p>
            <w:pPr>
              <w:spacing w:line="280" w:lineRule="exact"/>
              <w:rPr>
                <w:rFonts w:hint="eastAsia" w:ascii="仿宋" w:hAnsi="仿宋" w:eastAsia="仿宋" w:cs="仿宋"/>
                <w:szCs w:val="21"/>
              </w:rPr>
            </w:pPr>
          </w:p>
        </w:tc>
        <w:tc>
          <w:tcPr>
            <w:tcW w:w="1726" w:type="dxa"/>
            <w:noWrap w:val="0"/>
            <w:vAlign w:val="center"/>
          </w:tcPr>
          <w:p>
            <w:pPr>
              <w:spacing w:line="280" w:lineRule="exact"/>
              <w:rPr>
                <w:rFonts w:hint="eastAsia" w:ascii="仿宋" w:hAnsi="仿宋" w:eastAsia="仿宋" w:cs="仿宋"/>
                <w:szCs w:val="21"/>
              </w:rPr>
            </w:pPr>
            <w:r>
              <w:rPr>
                <w:rFonts w:hint="eastAsia" w:ascii="仿宋" w:hAnsi="仿宋" w:eastAsia="仿宋" w:cs="仿宋"/>
                <w:szCs w:val="21"/>
              </w:rPr>
              <w:t>其它教学奖励</w:t>
            </w:r>
          </w:p>
        </w:tc>
        <w:tc>
          <w:tcPr>
            <w:tcW w:w="3780" w:type="dxa"/>
            <w:noWrap w:val="0"/>
            <w:vAlign w:val="center"/>
          </w:tcPr>
          <w:p>
            <w:pPr>
              <w:spacing w:line="280" w:lineRule="exact"/>
              <w:rPr>
                <w:rFonts w:hint="eastAsia" w:ascii="仿宋" w:hAnsi="仿宋" w:eastAsia="仿宋" w:cs="仿宋"/>
                <w:szCs w:val="21"/>
              </w:rPr>
            </w:pPr>
            <w:r>
              <w:rPr>
                <w:rFonts w:hint="eastAsia" w:ascii="仿宋" w:hAnsi="仿宋" w:eastAsia="仿宋" w:cs="仿宋"/>
                <w:szCs w:val="21"/>
              </w:rPr>
              <w:t>1.国家级获奖：一等奖50分，二等奖30分，三等奖20分；</w:t>
            </w:r>
          </w:p>
          <w:p>
            <w:pPr>
              <w:spacing w:line="280" w:lineRule="exact"/>
              <w:rPr>
                <w:rFonts w:hint="eastAsia" w:ascii="仿宋" w:hAnsi="仿宋" w:eastAsia="仿宋" w:cs="仿宋"/>
                <w:szCs w:val="21"/>
              </w:rPr>
            </w:pPr>
            <w:r>
              <w:rPr>
                <w:rFonts w:hint="eastAsia" w:ascii="仿宋" w:hAnsi="仿宋" w:eastAsia="仿宋" w:cs="仿宋"/>
                <w:szCs w:val="21"/>
              </w:rPr>
              <w:t>2.省部级获奖：一等奖30分，二等奖20分，三等奖10分；</w:t>
            </w:r>
          </w:p>
          <w:p>
            <w:pPr>
              <w:spacing w:line="280" w:lineRule="exact"/>
              <w:rPr>
                <w:rFonts w:hint="eastAsia" w:ascii="仿宋" w:hAnsi="仿宋" w:eastAsia="仿宋" w:cs="仿宋"/>
                <w:szCs w:val="21"/>
              </w:rPr>
            </w:pPr>
            <w:r>
              <w:rPr>
                <w:rFonts w:hint="eastAsia" w:ascii="仿宋" w:hAnsi="仿宋" w:eastAsia="仿宋" w:cs="仿宋"/>
                <w:szCs w:val="21"/>
              </w:rPr>
              <w:t>3.市级校级获奖：一等奖20分，二等奖10分，三等奖6分；</w:t>
            </w:r>
          </w:p>
          <w:p>
            <w:pPr>
              <w:spacing w:line="280" w:lineRule="exact"/>
              <w:rPr>
                <w:rFonts w:hint="eastAsia" w:ascii="仿宋" w:hAnsi="仿宋" w:eastAsia="仿宋" w:cs="仿宋"/>
                <w:szCs w:val="21"/>
              </w:rPr>
            </w:pPr>
            <w:r>
              <w:rPr>
                <w:rFonts w:hint="eastAsia" w:ascii="仿宋" w:hAnsi="仿宋" w:eastAsia="仿宋" w:cs="仿宋"/>
                <w:szCs w:val="21"/>
              </w:rPr>
              <w:t>4.院级获奖：一等奖10分，二等奖6分，三等奖3分。</w:t>
            </w:r>
          </w:p>
          <w:p>
            <w:pPr>
              <w:spacing w:line="280" w:lineRule="exact"/>
              <w:rPr>
                <w:rFonts w:hint="eastAsia" w:ascii="仿宋" w:hAnsi="仿宋" w:eastAsia="仿宋" w:cs="仿宋"/>
                <w:szCs w:val="21"/>
              </w:rPr>
            </w:pPr>
            <w:r>
              <w:rPr>
                <w:rFonts w:hint="eastAsia" w:ascii="仿宋" w:hAnsi="仿宋" w:eastAsia="仿宋" w:cs="仿宋"/>
                <w:szCs w:val="21"/>
              </w:rPr>
              <w:t>5.心目中的好老师10分。</w:t>
            </w:r>
          </w:p>
        </w:tc>
        <w:tc>
          <w:tcPr>
            <w:tcW w:w="1365" w:type="dxa"/>
            <w:noWrap w:val="0"/>
            <w:vAlign w:val="top"/>
          </w:tcPr>
          <w:p>
            <w:pPr>
              <w:spacing w:line="280" w:lineRule="exact"/>
              <w:ind w:firstLine="420" w:firstLineChars="200"/>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8" w:hRule="atLeast"/>
          <w:jc w:val="center"/>
        </w:trPr>
        <w:tc>
          <w:tcPr>
            <w:tcW w:w="1215" w:type="dxa"/>
            <w:vMerge w:val="continue"/>
            <w:noWrap w:val="0"/>
            <w:vAlign w:val="center"/>
          </w:tcPr>
          <w:p>
            <w:pPr>
              <w:spacing w:line="280" w:lineRule="exact"/>
              <w:jc w:val="center"/>
              <w:rPr>
                <w:rFonts w:hint="eastAsia" w:ascii="仿宋" w:hAnsi="仿宋" w:eastAsia="仿宋" w:cs="仿宋"/>
                <w:szCs w:val="21"/>
              </w:rPr>
            </w:pPr>
          </w:p>
        </w:tc>
        <w:tc>
          <w:tcPr>
            <w:tcW w:w="1168" w:type="dxa"/>
            <w:noWrap w:val="0"/>
            <w:vAlign w:val="center"/>
          </w:tcPr>
          <w:p>
            <w:pPr>
              <w:spacing w:line="280" w:lineRule="exact"/>
              <w:rPr>
                <w:rFonts w:hint="eastAsia" w:ascii="仿宋" w:hAnsi="仿宋" w:eastAsia="仿宋" w:cs="仿宋"/>
                <w:szCs w:val="21"/>
              </w:rPr>
            </w:pPr>
            <w:r>
              <w:rPr>
                <w:rFonts w:hint="eastAsia" w:ascii="仿宋" w:hAnsi="仿宋" w:eastAsia="仿宋" w:cs="仿宋"/>
                <w:szCs w:val="21"/>
              </w:rPr>
              <w:t>教学事故（S</w:t>
            </w:r>
            <w:r>
              <w:rPr>
                <w:rFonts w:hint="eastAsia" w:ascii="仿宋" w:hAnsi="仿宋" w:eastAsia="仿宋" w:cs="仿宋"/>
                <w:szCs w:val="21"/>
                <w:vertAlign w:val="subscript"/>
              </w:rPr>
              <w:t>24</w:t>
            </w:r>
            <w:r>
              <w:rPr>
                <w:rFonts w:hint="eastAsia" w:ascii="仿宋" w:hAnsi="仿宋" w:eastAsia="仿宋" w:cs="仿宋"/>
                <w:szCs w:val="21"/>
              </w:rPr>
              <w:t>）</w:t>
            </w:r>
          </w:p>
        </w:tc>
        <w:tc>
          <w:tcPr>
            <w:tcW w:w="1726" w:type="dxa"/>
            <w:noWrap w:val="0"/>
            <w:vAlign w:val="center"/>
          </w:tcPr>
          <w:p>
            <w:pPr>
              <w:spacing w:line="280" w:lineRule="exact"/>
              <w:rPr>
                <w:rFonts w:hint="eastAsia" w:ascii="仿宋" w:hAnsi="仿宋" w:eastAsia="仿宋" w:cs="仿宋"/>
                <w:szCs w:val="21"/>
              </w:rPr>
            </w:pPr>
            <w:r>
              <w:rPr>
                <w:rFonts w:hint="eastAsia" w:ascii="仿宋" w:hAnsi="仿宋" w:eastAsia="仿宋" w:cs="仿宋"/>
                <w:szCs w:val="21"/>
              </w:rPr>
              <w:t>一般教学事故</w:t>
            </w:r>
          </w:p>
          <w:p>
            <w:pPr>
              <w:spacing w:line="280" w:lineRule="exact"/>
              <w:rPr>
                <w:rFonts w:hint="eastAsia" w:ascii="仿宋" w:hAnsi="仿宋" w:eastAsia="仿宋" w:cs="仿宋"/>
                <w:szCs w:val="21"/>
              </w:rPr>
            </w:pPr>
            <w:r>
              <w:rPr>
                <w:rFonts w:hint="eastAsia" w:ascii="仿宋" w:hAnsi="仿宋" w:eastAsia="仿宋" w:cs="仿宋"/>
                <w:szCs w:val="21"/>
              </w:rPr>
              <w:t>重大教学事故</w:t>
            </w:r>
          </w:p>
        </w:tc>
        <w:tc>
          <w:tcPr>
            <w:tcW w:w="3780" w:type="dxa"/>
            <w:noWrap w:val="0"/>
            <w:vAlign w:val="center"/>
          </w:tcPr>
          <w:p>
            <w:pPr>
              <w:spacing w:line="280" w:lineRule="exact"/>
              <w:rPr>
                <w:rFonts w:hint="eastAsia" w:ascii="仿宋" w:hAnsi="仿宋" w:eastAsia="仿宋" w:cs="仿宋"/>
                <w:szCs w:val="21"/>
              </w:rPr>
            </w:pPr>
            <w:r>
              <w:rPr>
                <w:rFonts w:hint="eastAsia" w:ascii="仿宋" w:hAnsi="仿宋" w:eastAsia="仿宋" w:cs="仿宋"/>
                <w:szCs w:val="21"/>
              </w:rPr>
              <w:t>一般教学事故扣20分/次；一年度内出现一般教学事故2次以上（含2次）或出现重大教学事故1次以上（含1次）者，直接定为不合格。</w:t>
            </w:r>
          </w:p>
        </w:tc>
        <w:tc>
          <w:tcPr>
            <w:tcW w:w="1365" w:type="dxa"/>
            <w:noWrap w:val="0"/>
            <w:vAlign w:val="top"/>
          </w:tcPr>
          <w:p>
            <w:pPr>
              <w:spacing w:line="280" w:lineRule="exact"/>
              <w:ind w:firstLine="420" w:firstLineChars="200"/>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9" w:hRule="atLeast"/>
          <w:jc w:val="center"/>
        </w:trPr>
        <w:tc>
          <w:tcPr>
            <w:tcW w:w="1215" w:type="dxa"/>
            <w:vMerge w:val="restart"/>
            <w:noWrap w:val="0"/>
            <w:vAlign w:val="center"/>
          </w:tcPr>
          <w:p>
            <w:pPr>
              <w:spacing w:line="280" w:lineRule="exact"/>
              <w:jc w:val="center"/>
              <w:rPr>
                <w:rFonts w:hint="eastAsia" w:ascii="仿宋" w:hAnsi="仿宋" w:eastAsia="仿宋" w:cs="仿宋"/>
                <w:szCs w:val="21"/>
              </w:rPr>
            </w:pPr>
            <w:r>
              <w:rPr>
                <w:rFonts w:hint="eastAsia" w:ascii="仿宋" w:hAnsi="仿宋" w:eastAsia="仿宋" w:cs="仿宋"/>
                <w:szCs w:val="21"/>
              </w:rPr>
              <w:t>教学改革</w:t>
            </w:r>
          </w:p>
          <w:p>
            <w:pPr>
              <w:spacing w:line="280" w:lineRule="exact"/>
              <w:jc w:val="center"/>
              <w:rPr>
                <w:rFonts w:hint="eastAsia" w:ascii="仿宋" w:hAnsi="仿宋" w:eastAsia="仿宋" w:cs="仿宋"/>
                <w:szCs w:val="21"/>
              </w:rPr>
            </w:pPr>
            <w:r>
              <w:rPr>
                <w:rFonts w:hint="eastAsia" w:ascii="仿宋" w:hAnsi="仿宋" w:eastAsia="仿宋" w:cs="仿宋"/>
                <w:szCs w:val="21"/>
              </w:rPr>
              <w:t>（S</w:t>
            </w:r>
            <w:r>
              <w:rPr>
                <w:rFonts w:hint="eastAsia" w:ascii="仿宋" w:hAnsi="仿宋" w:eastAsia="仿宋" w:cs="仿宋"/>
                <w:szCs w:val="21"/>
                <w:vertAlign w:val="subscript"/>
              </w:rPr>
              <w:t>3</w:t>
            </w:r>
            <w:r>
              <w:rPr>
                <w:rFonts w:hint="eastAsia" w:ascii="仿宋" w:hAnsi="仿宋" w:eastAsia="仿宋" w:cs="仿宋"/>
                <w:szCs w:val="21"/>
              </w:rPr>
              <w:t>）</w:t>
            </w:r>
          </w:p>
        </w:tc>
        <w:tc>
          <w:tcPr>
            <w:tcW w:w="1168" w:type="dxa"/>
            <w:vMerge w:val="restart"/>
            <w:noWrap w:val="0"/>
            <w:vAlign w:val="center"/>
          </w:tcPr>
          <w:p>
            <w:pPr>
              <w:spacing w:line="280" w:lineRule="exact"/>
              <w:rPr>
                <w:rFonts w:hint="eastAsia" w:ascii="仿宋" w:hAnsi="仿宋" w:eastAsia="仿宋" w:cs="仿宋"/>
                <w:szCs w:val="21"/>
              </w:rPr>
            </w:pPr>
            <w:r>
              <w:rPr>
                <w:rFonts w:hint="eastAsia" w:ascii="仿宋" w:hAnsi="仿宋" w:eastAsia="仿宋" w:cs="仿宋"/>
                <w:szCs w:val="21"/>
              </w:rPr>
              <w:t>教学建设与研究项目（S</w:t>
            </w:r>
            <w:r>
              <w:rPr>
                <w:rFonts w:hint="eastAsia" w:ascii="仿宋" w:hAnsi="仿宋" w:eastAsia="仿宋" w:cs="仿宋"/>
                <w:szCs w:val="21"/>
                <w:vertAlign w:val="subscript"/>
              </w:rPr>
              <w:t>31</w:t>
            </w:r>
            <w:r>
              <w:rPr>
                <w:rFonts w:hint="eastAsia" w:ascii="仿宋" w:hAnsi="仿宋" w:eastAsia="仿宋" w:cs="仿宋"/>
                <w:szCs w:val="21"/>
              </w:rPr>
              <w:t>）</w:t>
            </w:r>
          </w:p>
          <w:p>
            <w:pPr>
              <w:spacing w:line="280" w:lineRule="exact"/>
              <w:rPr>
                <w:rFonts w:hint="eastAsia" w:ascii="仿宋" w:hAnsi="仿宋" w:eastAsia="仿宋" w:cs="仿宋"/>
                <w:szCs w:val="21"/>
              </w:rPr>
            </w:pPr>
          </w:p>
        </w:tc>
        <w:tc>
          <w:tcPr>
            <w:tcW w:w="1726" w:type="dxa"/>
            <w:noWrap w:val="0"/>
            <w:vAlign w:val="center"/>
          </w:tcPr>
          <w:p>
            <w:pPr>
              <w:widowControl/>
              <w:tabs>
                <w:tab w:val="left" w:pos="900"/>
              </w:tabs>
              <w:spacing w:line="280" w:lineRule="exact"/>
              <w:ind w:left="-63" w:leftChars="-30" w:right="-82" w:rightChars="-39" w:firstLine="1"/>
              <w:rPr>
                <w:rFonts w:hint="eastAsia" w:ascii="仿宋" w:hAnsi="仿宋" w:eastAsia="仿宋" w:cs="仿宋"/>
                <w:szCs w:val="21"/>
              </w:rPr>
            </w:pPr>
            <w:r>
              <w:rPr>
                <w:rFonts w:hint="eastAsia" w:ascii="仿宋" w:hAnsi="仿宋" w:eastAsia="仿宋" w:cs="仿宋"/>
                <w:szCs w:val="21"/>
              </w:rPr>
              <w:t>学科、专业建设（建设期内）</w:t>
            </w:r>
          </w:p>
        </w:tc>
        <w:tc>
          <w:tcPr>
            <w:tcW w:w="3780" w:type="dxa"/>
            <w:noWrap w:val="0"/>
            <w:vAlign w:val="center"/>
          </w:tcPr>
          <w:p>
            <w:pPr>
              <w:spacing w:line="280" w:lineRule="exact"/>
              <w:rPr>
                <w:rFonts w:hint="eastAsia" w:ascii="仿宋" w:hAnsi="仿宋" w:eastAsia="仿宋" w:cs="仿宋"/>
                <w:szCs w:val="21"/>
              </w:rPr>
            </w:pPr>
            <w:r>
              <w:rPr>
                <w:rFonts w:hint="eastAsia" w:ascii="仿宋" w:hAnsi="仿宋" w:eastAsia="仿宋" w:cs="仿宋"/>
                <w:szCs w:val="21"/>
              </w:rPr>
              <w:t>1.国家级100分/项/年；</w:t>
            </w:r>
          </w:p>
          <w:p>
            <w:pPr>
              <w:spacing w:line="280" w:lineRule="exact"/>
              <w:rPr>
                <w:rFonts w:hint="eastAsia" w:ascii="仿宋" w:hAnsi="仿宋" w:eastAsia="仿宋" w:cs="仿宋"/>
                <w:szCs w:val="21"/>
              </w:rPr>
            </w:pPr>
            <w:r>
              <w:rPr>
                <w:rFonts w:hint="eastAsia" w:ascii="仿宋" w:hAnsi="仿宋" w:eastAsia="仿宋" w:cs="仿宋"/>
                <w:szCs w:val="21"/>
              </w:rPr>
              <w:t>2.省级50分/项/年；</w:t>
            </w:r>
          </w:p>
          <w:p>
            <w:pPr>
              <w:spacing w:line="280" w:lineRule="exact"/>
              <w:rPr>
                <w:rFonts w:hint="eastAsia" w:ascii="仿宋" w:hAnsi="仿宋" w:eastAsia="仿宋" w:cs="仿宋"/>
                <w:szCs w:val="21"/>
              </w:rPr>
            </w:pPr>
            <w:r>
              <w:rPr>
                <w:rFonts w:hint="eastAsia" w:ascii="仿宋" w:hAnsi="仿宋" w:eastAsia="仿宋" w:cs="仿宋"/>
                <w:szCs w:val="21"/>
              </w:rPr>
              <w:t>3.市、校、院级30分/项/年；</w:t>
            </w:r>
          </w:p>
          <w:p>
            <w:pPr>
              <w:widowControl/>
              <w:tabs>
                <w:tab w:val="left" w:pos="900"/>
              </w:tabs>
              <w:spacing w:line="300" w:lineRule="exact"/>
              <w:ind w:right="-86" w:rightChars="-41"/>
              <w:rPr>
                <w:rFonts w:hint="eastAsia" w:ascii="仿宋" w:hAnsi="仿宋" w:eastAsia="仿宋" w:cs="仿宋"/>
                <w:szCs w:val="21"/>
              </w:rPr>
            </w:pPr>
            <w:r>
              <w:rPr>
                <w:rFonts w:hint="eastAsia" w:ascii="仿宋" w:hAnsi="仿宋" w:eastAsia="仿宋" w:cs="仿宋"/>
                <w:szCs w:val="21"/>
              </w:rPr>
              <w:t>4.新专业30分/项/年。</w:t>
            </w:r>
          </w:p>
        </w:tc>
        <w:tc>
          <w:tcPr>
            <w:tcW w:w="1365" w:type="dxa"/>
            <w:vMerge w:val="restart"/>
            <w:noWrap w:val="0"/>
            <w:vAlign w:val="center"/>
          </w:tcPr>
          <w:p>
            <w:pPr>
              <w:widowControl/>
              <w:tabs>
                <w:tab w:val="left" w:pos="900"/>
              </w:tabs>
              <w:spacing w:line="300" w:lineRule="exact"/>
              <w:ind w:left="-17" w:right="-86" w:rightChars="-41"/>
              <w:rPr>
                <w:rFonts w:hint="eastAsia" w:ascii="仿宋" w:hAnsi="仿宋" w:eastAsia="仿宋" w:cs="仿宋"/>
                <w:szCs w:val="21"/>
              </w:rPr>
            </w:pPr>
            <w:r>
              <w:rPr>
                <w:rFonts w:hint="eastAsia" w:ascii="仿宋" w:hAnsi="仿宋" w:eastAsia="仿宋" w:cs="仿宋"/>
                <w:szCs w:val="21"/>
              </w:rPr>
              <w:t>1．同一建设项目取最高级；</w:t>
            </w:r>
          </w:p>
          <w:p>
            <w:pPr>
              <w:widowControl/>
              <w:tabs>
                <w:tab w:val="left" w:pos="900"/>
              </w:tabs>
              <w:spacing w:line="300" w:lineRule="exact"/>
              <w:ind w:left="-17" w:right="-86" w:rightChars="-41"/>
              <w:rPr>
                <w:rFonts w:hint="eastAsia" w:ascii="仿宋" w:hAnsi="仿宋" w:eastAsia="仿宋" w:cs="仿宋"/>
                <w:szCs w:val="21"/>
              </w:rPr>
            </w:pPr>
            <w:r>
              <w:rPr>
                <w:rFonts w:hint="eastAsia" w:ascii="仿宋" w:hAnsi="仿宋" w:eastAsia="仿宋" w:cs="仿宋"/>
                <w:szCs w:val="21"/>
              </w:rPr>
              <w:t>2．多人参与的项目得分的分配原则参见注3；</w:t>
            </w:r>
          </w:p>
          <w:p>
            <w:pPr>
              <w:widowControl/>
              <w:tabs>
                <w:tab w:val="left" w:pos="900"/>
              </w:tabs>
              <w:spacing w:line="300" w:lineRule="exact"/>
              <w:ind w:left="-17" w:right="-86" w:rightChars="-41"/>
              <w:rPr>
                <w:rFonts w:hint="eastAsia" w:ascii="仿宋" w:hAnsi="仿宋" w:eastAsia="仿宋" w:cs="仿宋"/>
                <w:szCs w:val="21"/>
              </w:rPr>
            </w:pPr>
            <w:r>
              <w:rPr>
                <w:rFonts w:hint="eastAsia" w:ascii="仿宋" w:hAnsi="仿宋" w:eastAsia="仿宋" w:cs="仿宋"/>
                <w:szCs w:val="21"/>
              </w:rPr>
              <w:t>3.各类项目建设期见注5；</w:t>
            </w:r>
          </w:p>
          <w:p>
            <w:pPr>
              <w:widowControl/>
              <w:tabs>
                <w:tab w:val="left" w:pos="900"/>
              </w:tabs>
              <w:spacing w:line="300" w:lineRule="exact"/>
              <w:ind w:left="-17" w:right="-86" w:rightChars="-41"/>
              <w:rPr>
                <w:rFonts w:hint="eastAsia" w:ascii="仿宋" w:hAnsi="仿宋" w:eastAsia="仿宋" w:cs="仿宋"/>
                <w:szCs w:val="21"/>
              </w:rPr>
            </w:pPr>
            <w:r>
              <w:rPr>
                <w:rFonts w:hint="eastAsia" w:ascii="仿宋" w:hAnsi="仿宋" w:eastAsia="仿宋" w:cs="仿宋"/>
                <w:szCs w:val="21"/>
              </w:rPr>
              <w:t>4．各类项目当年中期检查或结题验收不合格，扣相应分值。</w:t>
            </w:r>
          </w:p>
          <w:p>
            <w:pPr>
              <w:spacing w:line="280" w:lineRule="exact"/>
              <w:ind w:firstLine="420" w:firstLineChars="200"/>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jc w:val="center"/>
        </w:trPr>
        <w:tc>
          <w:tcPr>
            <w:tcW w:w="1215" w:type="dxa"/>
            <w:vMerge w:val="continue"/>
            <w:noWrap w:val="0"/>
            <w:vAlign w:val="top"/>
          </w:tcPr>
          <w:p>
            <w:pPr>
              <w:spacing w:line="280" w:lineRule="exact"/>
              <w:ind w:firstLine="420" w:firstLineChars="200"/>
              <w:rPr>
                <w:rFonts w:hint="eastAsia" w:ascii="仿宋" w:hAnsi="仿宋" w:eastAsia="仿宋" w:cs="仿宋"/>
                <w:szCs w:val="21"/>
              </w:rPr>
            </w:pPr>
          </w:p>
        </w:tc>
        <w:tc>
          <w:tcPr>
            <w:tcW w:w="1168" w:type="dxa"/>
            <w:vMerge w:val="continue"/>
            <w:noWrap w:val="0"/>
            <w:vAlign w:val="center"/>
          </w:tcPr>
          <w:p>
            <w:pPr>
              <w:spacing w:line="280" w:lineRule="exact"/>
              <w:ind w:firstLine="420" w:firstLineChars="200"/>
              <w:rPr>
                <w:rFonts w:hint="eastAsia" w:ascii="仿宋" w:hAnsi="仿宋" w:eastAsia="仿宋" w:cs="仿宋"/>
                <w:szCs w:val="21"/>
              </w:rPr>
            </w:pPr>
          </w:p>
        </w:tc>
        <w:tc>
          <w:tcPr>
            <w:tcW w:w="1726" w:type="dxa"/>
            <w:noWrap w:val="0"/>
            <w:vAlign w:val="center"/>
          </w:tcPr>
          <w:p>
            <w:pPr>
              <w:widowControl/>
              <w:tabs>
                <w:tab w:val="left" w:pos="900"/>
              </w:tabs>
              <w:spacing w:line="280" w:lineRule="exact"/>
              <w:ind w:left="-63" w:leftChars="-30" w:right="-82" w:rightChars="-39" w:firstLine="1"/>
              <w:rPr>
                <w:rFonts w:hint="eastAsia" w:ascii="仿宋" w:hAnsi="仿宋" w:eastAsia="仿宋" w:cs="仿宋"/>
                <w:szCs w:val="21"/>
              </w:rPr>
            </w:pPr>
            <w:r>
              <w:rPr>
                <w:rFonts w:hint="eastAsia" w:ascii="仿宋" w:hAnsi="仿宋" w:eastAsia="仿宋" w:cs="仿宋"/>
                <w:szCs w:val="21"/>
              </w:rPr>
              <w:t>课程建设、教学团队（建设期内）</w:t>
            </w:r>
          </w:p>
        </w:tc>
        <w:tc>
          <w:tcPr>
            <w:tcW w:w="3780" w:type="dxa"/>
            <w:noWrap w:val="0"/>
            <w:vAlign w:val="center"/>
          </w:tcPr>
          <w:p>
            <w:pPr>
              <w:widowControl/>
              <w:tabs>
                <w:tab w:val="left" w:pos="900"/>
              </w:tabs>
              <w:spacing w:line="300" w:lineRule="exact"/>
              <w:ind w:left="-31" w:right="-86" w:rightChars="-41"/>
              <w:rPr>
                <w:rFonts w:hint="eastAsia" w:ascii="仿宋" w:hAnsi="仿宋" w:eastAsia="仿宋" w:cs="仿宋"/>
                <w:szCs w:val="21"/>
              </w:rPr>
            </w:pPr>
            <w:r>
              <w:rPr>
                <w:rFonts w:hint="eastAsia" w:ascii="仿宋" w:hAnsi="仿宋" w:eastAsia="仿宋" w:cs="仿宋"/>
                <w:szCs w:val="21"/>
              </w:rPr>
              <w:t>1.国家级100分/项/年；</w:t>
            </w:r>
          </w:p>
          <w:p>
            <w:pPr>
              <w:widowControl/>
              <w:tabs>
                <w:tab w:val="left" w:pos="900"/>
              </w:tabs>
              <w:spacing w:line="300" w:lineRule="exact"/>
              <w:ind w:left="-31" w:right="-86" w:rightChars="-41"/>
              <w:rPr>
                <w:rFonts w:hint="eastAsia" w:ascii="仿宋" w:hAnsi="仿宋" w:eastAsia="仿宋" w:cs="仿宋"/>
                <w:szCs w:val="21"/>
              </w:rPr>
            </w:pPr>
            <w:r>
              <w:rPr>
                <w:rFonts w:hint="eastAsia" w:ascii="仿宋" w:hAnsi="仿宋" w:eastAsia="仿宋" w:cs="仿宋"/>
                <w:szCs w:val="21"/>
              </w:rPr>
              <w:t>2.省级50分/项/年；</w:t>
            </w:r>
          </w:p>
          <w:p>
            <w:pPr>
              <w:widowControl/>
              <w:tabs>
                <w:tab w:val="left" w:pos="900"/>
              </w:tabs>
              <w:spacing w:line="300" w:lineRule="exact"/>
              <w:ind w:left="-31" w:right="-86" w:rightChars="-41"/>
              <w:rPr>
                <w:rFonts w:hint="eastAsia" w:ascii="仿宋" w:hAnsi="仿宋" w:eastAsia="仿宋" w:cs="仿宋"/>
                <w:szCs w:val="21"/>
              </w:rPr>
            </w:pPr>
            <w:r>
              <w:rPr>
                <w:rFonts w:hint="eastAsia" w:ascii="仿宋" w:hAnsi="仿宋" w:eastAsia="仿宋" w:cs="仿宋"/>
                <w:szCs w:val="21"/>
              </w:rPr>
              <w:t>3.市、校、院20分/项/年。</w:t>
            </w:r>
          </w:p>
        </w:tc>
        <w:tc>
          <w:tcPr>
            <w:tcW w:w="1365" w:type="dxa"/>
            <w:vMerge w:val="continue"/>
            <w:noWrap w:val="0"/>
            <w:vAlign w:val="top"/>
          </w:tcPr>
          <w:p>
            <w:pPr>
              <w:spacing w:line="280" w:lineRule="exact"/>
              <w:ind w:firstLine="420" w:firstLineChars="200"/>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9" w:hRule="atLeast"/>
          <w:jc w:val="center"/>
        </w:trPr>
        <w:tc>
          <w:tcPr>
            <w:tcW w:w="1215" w:type="dxa"/>
            <w:vMerge w:val="continue"/>
            <w:noWrap w:val="0"/>
            <w:vAlign w:val="top"/>
          </w:tcPr>
          <w:p>
            <w:pPr>
              <w:spacing w:line="280" w:lineRule="exact"/>
              <w:ind w:firstLine="420" w:firstLineChars="200"/>
              <w:rPr>
                <w:rFonts w:hint="eastAsia" w:ascii="仿宋" w:hAnsi="仿宋" w:eastAsia="仿宋" w:cs="仿宋"/>
                <w:szCs w:val="21"/>
              </w:rPr>
            </w:pPr>
          </w:p>
        </w:tc>
        <w:tc>
          <w:tcPr>
            <w:tcW w:w="1168" w:type="dxa"/>
            <w:vMerge w:val="continue"/>
            <w:noWrap w:val="0"/>
            <w:vAlign w:val="center"/>
          </w:tcPr>
          <w:p>
            <w:pPr>
              <w:spacing w:line="280" w:lineRule="exact"/>
              <w:ind w:firstLine="420" w:firstLineChars="200"/>
              <w:rPr>
                <w:rFonts w:hint="eastAsia" w:ascii="仿宋" w:hAnsi="仿宋" w:eastAsia="仿宋" w:cs="仿宋"/>
                <w:szCs w:val="21"/>
              </w:rPr>
            </w:pPr>
          </w:p>
        </w:tc>
        <w:tc>
          <w:tcPr>
            <w:tcW w:w="1726" w:type="dxa"/>
            <w:noWrap w:val="0"/>
            <w:vAlign w:val="center"/>
          </w:tcPr>
          <w:p>
            <w:pPr>
              <w:spacing w:line="280" w:lineRule="exact"/>
              <w:rPr>
                <w:rFonts w:hint="eastAsia" w:ascii="仿宋" w:hAnsi="仿宋" w:eastAsia="仿宋" w:cs="仿宋"/>
                <w:szCs w:val="21"/>
              </w:rPr>
            </w:pPr>
            <w:r>
              <w:rPr>
                <w:rFonts w:hint="eastAsia" w:ascii="仿宋" w:hAnsi="仿宋" w:eastAsia="仿宋" w:cs="仿宋"/>
                <w:szCs w:val="21"/>
              </w:rPr>
              <w:t>教学实验室（实验教学示范中心）、实习基地、学生创新创业基地建设（建设期内）</w:t>
            </w:r>
          </w:p>
        </w:tc>
        <w:tc>
          <w:tcPr>
            <w:tcW w:w="3780" w:type="dxa"/>
            <w:noWrap w:val="0"/>
            <w:vAlign w:val="center"/>
          </w:tcPr>
          <w:p>
            <w:pPr>
              <w:widowControl/>
              <w:tabs>
                <w:tab w:val="left" w:pos="900"/>
              </w:tabs>
              <w:spacing w:line="300" w:lineRule="exact"/>
              <w:ind w:left="-31" w:right="-86" w:rightChars="-41"/>
              <w:rPr>
                <w:rFonts w:hint="eastAsia" w:ascii="仿宋" w:hAnsi="仿宋" w:eastAsia="仿宋" w:cs="仿宋"/>
                <w:szCs w:val="21"/>
              </w:rPr>
            </w:pPr>
            <w:r>
              <w:rPr>
                <w:rFonts w:hint="eastAsia" w:ascii="仿宋" w:hAnsi="仿宋" w:eastAsia="仿宋" w:cs="仿宋"/>
                <w:szCs w:val="21"/>
              </w:rPr>
              <w:t>1.国家级100分/项/年；</w:t>
            </w:r>
          </w:p>
          <w:p>
            <w:pPr>
              <w:widowControl/>
              <w:tabs>
                <w:tab w:val="left" w:pos="900"/>
              </w:tabs>
              <w:spacing w:line="300" w:lineRule="exact"/>
              <w:ind w:left="-31" w:right="-86" w:rightChars="-41"/>
              <w:rPr>
                <w:rFonts w:hint="eastAsia" w:ascii="仿宋" w:hAnsi="仿宋" w:eastAsia="仿宋" w:cs="仿宋"/>
                <w:szCs w:val="21"/>
              </w:rPr>
            </w:pPr>
            <w:r>
              <w:rPr>
                <w:rFonts w:hint="eastAsia" w:ascii="仿宋" w:hAnsi="仿宋" w:eastAsia="仿宋" w:cs="仿宋"/>
                <w:szCs w:val="21"/>
              </w:rPr>
              <w:t>2.省级50分/项/年；</w:t>
            </w:r>
          </w:p>
          <w:p>
            <w:pPr>
              <w:widowControl/>
              <w:tabs>
                <w:tab w:val="left" w:pos="900"/>
              </w:tabs>
              <w:spacing w:line="300" w:lineRule="exact"/>
              <w:ind w:left="-31" w:right="-86" w:rightChars="-41"/>
              <w:rPr>
                <w:rFonts w:hint="eastAsia" w:ascii="仿宋" w:hAnsi="仿宋" w:eastAsia="仿宋" w:cs="仿宋"/>
                <w:szCs w:val="21"/>
              </w:rPr>
            </w:pPr>
            <w:r>
              <w:rPr>
                <w:rFonts w:hint="eastAsia" w:ascii="仿宋" w:hAnsi="仿宋" w:eastAsia="仿宋" w:cs="仿宋"/>
                <w:szCs w:val="21"/>
              </w:rPr>
              <w:t>3.市、校、院级20分/项/年。</w:t>
            </w:r>
          </w:p>
        </w:tc>
        <w:tc>
          <w:tcPr>
            <w:tcW w:w="1365" w:type="dxa"/>
            <w:vMerge w:val="continue"/>
            <w:noWrap w:val="0"/>
            <w:vAlign w:val="top"/>
          </w:tcPr>
          <w:p>
            <w:pPr>
              <w:spacing w:line="280" w:lineRule="exact"/>
              <w:ind w:firstLine="420" w:firstLineChars="200"/>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9" w:hRule="atLeast"/>
          <w:jc w:val="center"/>
        </w:trPr>
        <w:tc>
          <w:tcPr>
            <w:tcW w:w="1215" w:type="dxa"/>
            <w:vMerge w:val="continue"/>
            <w:noWrap w:val="0"/>
            <w:vAlign w:val="top"/>
          </w:tcPr>
          <w:p>
            <w:pPr>
              <w:spacing w:line="280" w:lineRule="exact"/>
              <w:ind w:firstLine="420" w:firstLineChars="200"/>
              <w:rPr>
                <w:rFonts w:hint="eastAsia" w:ascii="仿宋" w:hAnsi="仿宋" w:eastAsia="仿宋" w:cs="仿宋"/>
                <w:szCs w:val="21"/>
              </w:rPr>
            </w:pPr>
          </w:p>
        </w:tc>
        <w:tc>
          <w:tcPr>
            <w:tcW w:w="1168" w:type="dxa"/>
            <w:vMerge w:val="continue"/>
            <w:noWrap w:val="0"/>
            <w:vAlign w:val="center"/>
          </w:tcPr>
          <w:p>
            <w:pPr>
              <w:spacing w:line="280" w:lineRule="exact"/>
              <w:ind w:firstLine="420" w:firstLineChars="200"/>
              <w:rPr>
                <w:rFonts w:hint="eastAsia" w:ascii="仿宋" w:hAnsi="仿宋" w:eastAsia="仿宋" w:cs="仿宋"/>
                <w:szCs w:val="21"/>
              </w:rPr>
            </w:pPr>
          </w:p>
        </w:tc>
        <w:tc>
          <w:tcPr>
            <w:tcW w:w="1726" w:type="dxa"/>
            <w:noWrap w:val="0"/>
            <w:vAlign w:val="center"/>
          </w:tcPr>
          <w:p>
            <w:pPr>
              <w:spacing w:line="280" w:lineRule="exact"/>
              <w:rPr>
                <w:rFonts w:hint="eastAsia" w:ascii="仿宋" w:hAnsi="仿宋" w:eastAsia="仿宋" w:cs="仿宋"/>
                <w:szCs w:val="21"/>
              </w:rPr>
            </w:pPr>
            <w:r>
              <w:rPr>
                <w:rFonts w:hint="eastAsia" w:ascii="仿宋" w:hAnsi="仿宋" w:eastAsia="仿宋" w:cs="仿宋"/>
                <w:szCs w:val="21"/>
              </w:rPr>
              <w:t>教材建设（教材正式出版当年计分）</w:t>
            </w:r>
          </w:p>
        </w:tc>
        <w:tc>
          <w:tcPr>
            <w:tcW w:w="3780" w:type="dxa"/>
            <w:noWrap w:val="0"/>
            <w:vAlign w:val="center"/>
          </w:tcPr>
          <w:p>
            <w:pPr>
              <w:spacing w:line="280" w:lineRule="exact"/>
              <w:rPr>
                <w:rFonts w:hint="eastAsia" w:ascii="仿宋" w:hAnsi="仿宋" w:eastAsia="仿宋" w:cs="仿宋"/>
                <w:szCs w:val="21"/>
              </w:rPr>
            </w:pPr>
            <w:r>
              <w:rPr>
                <w:rFonts w:hint="eastAsia" w:ascii="仿宋" w:hAnsi="仿宋" w:eastAsia="仿宋" w:cs="仿宋"/>
                <w:szCs w:val="21"/>
              </w:rPr>
              <w:t>1.国家规划教材50分/本；</w:t>
            </w:r>
          </w:p>
          <w:p>
            <w:pPr>
              <w:spacing w:line="280" w:lineRule="exact"/>
              <w:rPr>
                <w:rFonts w:hint="eastAsia" w:ascii="仿宋" w:hAnsi="仿宋" w:eastAsia="仿宋" w:cs="仿宋"/>
                <w:szCs w:val="21"/>
              </w:rPr>
            </w:pPr>
            <w:r>
              <w:rPr>
                <w:rFonts w:hint="eastAsia" w:ascii="仿宋" w:hAnsi="仿宋" w:eastAsia="仿宋" w:cs="仿宋"/>
                <w:szCs w:val="21"/>
              </w:rPr>
              <w:t>2.省重点建设教材30分/本；</w:t>
            </w:r>
          </w:p>
          <w:p>
            <w:pPr>
              <w:spacing w:line="280" w:lineRule="exact"/>
              <w:rPr>
                <w:rFonts w:hint="eastAsia" w:ascii="仿宋" w:hAnsi="仿宋" w:eastAsia="仿宋" w:cs="仿宋"/>
                <w:szCs w:val="21"/>
              </w:rPr>
            </w:pPr>
            <w:r>
              <w:rPr>
                <w:rFonts w:hint="eastAsia" w:ascii="仿宋" w:hAnsi="仿宋" w:eastAsia="仿宋" w:cs="仿宋"/>
                <w:szCs w:val="21"/>
              </w:rPr>
              <w:t>3.正规出版社教材15分/本；</w:t>
            </w:r>
          </w:p>
          <w:p>
            <w:pPr>
              <w:spacing w:line="280" w:lineRule="exact"/>
              <w:rPr>
                <w:rFonts w:hint="eastAsia" w:ascii="仿宋" w:hAnsi="仿宋" w:eastAsia="仿宋" w:cs="仿宋"/>
                <w:szCs w:val="21"/>
              </w:rPr>
            </w:pPr>
            <w:r>
              <w:rPr>
                <w:rFonts w:hint="eastAsia" w:ascii="仿宋" w:hAnsi="仿宋" w:eastAsia="仿宋" w:cs="仿宋"/>
                <w:szCs w:val="21"/>
              </w:rPr>
              <w:t>4.译著10分/本。</w:t>
            </w:r>
          </w:p>
        </w:tc>
        <w:tc>
          <w:tcPr>
            <w:tcW w:w="1365" w:type="dxa"/>
            <w:vMerge w:val="continue"/>
            <w:noWrap w:val="0"/>
            <w:vAlign w:val="top"/>
          </w:tcPr>
          <w:p>
            <w:pPr>
              <w:spacing w:line="280" w:lineRule="exact"/>
              <w:ind w:firstLine="420" w:firstLineChars="200"/>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3" w:hRule="atLeast"/>
          <w:jc w:val="center"/>
        </w:trPr>
        <w:tc>
          <w:tcPr>
            <w:tcW w:w="1215" w:type="dxa"/>
            <w:vMerge w:val="continue"/>
            <w:noWrap w:val="0"/>
            <w:vAlign w:val="top"/>
          </w:tcPr>
          <w:p>
            <w:pPr>
              <w:spacing w:line="280" w:lineRule="exact"/>
              <w:ind w:firstLine="420" w:firstLineChars="200"/>
              <w:rPr>
                <w:rFonts w:hint="eastAsia" w:ascii="仿宋" w:hAnsi="仿宋" w:eastAsia="仿宋" w:cs="仿宋"/>
                <w:szCs w:val="21"/>
              </w:rPr>
            </w:pPr>
          </w:p>
        </w:tc>
        <w:tc>
          <w:tcPr>
            <w:tcW w:w="1168" w:type="dxa"/>
            <w:vMerge w:val="continue"/>
            <w:noWrap w:val="0"/>
            <w:vAlign w:val="center"/>
          </w:tcPr>
          <w:p>
            <w:pPr>
              <w:spacing w:line="280" w:lineRule="exact"/>
              <w:rPr>
                <w:rFonts w:hint="eastAsia" w:ascii="仿宋" w:hAnsi="仿宋" w:eastAsia="仿宋" w:cs="仿宋"/>
                <w:szCs w:val="21"/>
              </w:rPr>
            </w:pPr>
          </w:p>
        </w:tc>
        <w:tc>
          <w:tcPr>
            <w:tcW w:w="1726" w:type="dxa"/>
            <w:noWrap w:val="0"/>
            <w:vAlign w:val="center"/>
          </w:tcPr>
          <w:p>
            <w:pPr>
              <w:widowControl/>
              <w:tabs>
                <w:tab w:val="left" w:pos="900"/>
              </w:tabs>
              <w:spacing w:line="280" w:lineRule="exact"/>
              <w:ind w:left="-63" w:leftChars="-30" w:right="-111" w:rightChars="-53" w:firstLine="1"/>
              <w:rPr>
                <w:rFonts w:hint="eastAsia" w:ascii="仿宋" w:hAnsi="仿宋" w:eastAsia="仿宋" w:cs="仿宋"/>
                <w:szCs w:val="21"/>
              </w:rPr>
            </w:pPr>
            <w:r>
              <w:rPr>
                <w:rFonts w:hint="eastAsia" w:ascii="仿宋" w:hAnsi="仿宋" w:eastAsia="仿宋" w:cs="仿宋"/>
                <w:szCs w:val="21"/>
              </w:rPr>
              <w:t>教改项目（项目通过中期检查或验收当年计分）</w:t>
            </w:r>
          </w:p>
        </w:tc>
        <w:tc>
          <w:tcPr>
            <w:tcW w:w="3780" w:type="dxa"/>
            <w:noWrap w:val="0"/>
            <w:vAlign w:val="center"/>
          </w:tcPr>
          <w:p>
            <w:pPr>
              <w:widowControl/>
              <w:tabs>
                <w:tab w:val="left" w:pos="900"/>
              </w:tabs>
              <w:spacing w:line="280" w:lineRule="exact"/>
              <w:ind w:left="-42" w:leftChars="-20" w:right="-111" w:rightChars="-53"/>
              <w:rPr>
                <w:rFonts w:hint="eastAsia" w:ascii="仿宋" w:hAnsi="仿宋" w:eastAsia="仿宋" w:cs="仿宋"/>
                <w:szCs w:val="21"/>
              </w:rPr>
            </w:pPr>
            <w:r>
              <w:rPr>
                <w:rFonts w:hint="eastAsia" w:ascii="仿宋" w:hAnsi="仿宋" w:eastAsia="仿宋" w:cs="仿宋"/>
                <w:szCs w:val="21"/>
              </w:rPr>
              <w:t>1.国家级重点项目100分/项，一般项目60分/项；</w:t>
            </w:r>
          </w:p>
          <w:p>
            <w:pPr>
              <w:widowControl/>
              <w:tabs>
                <w:tab w:val="left" w:pos="900"/>
              </w:tabs>
              <w:spacing w:line="280" w:lineRule="exact"/>
              <w:ind w:left="-42" w:leftChars="-20" w:right="-111" w:rightChars="-53"/>
              <w:rPr>
                <w:rFonts w:hint="eastAsia" w:ascii="仿宋" w:hAnsi="仿宋" w:eastAsia="仿宋" w:cs="仿宋"/>
                <w:szCs w:val="21"/>
              </w:rPr>
            </w:pPr>
            <w:r>
              <w:rPr>
                <w:rFonts w:hint="eastAsia" w:ascii="仿宋" w:hAnsi="仿宋" w:eastAsia="仿宋" w:cs="仿宋"/>
                <w:szCs w:val="21"/>
              </w:rPr>
              <w:t>2.省级重点项目50分/项；一般项目30分/项；</w:t>
            </w:r>
          </w:p>
          <w:p>
            <w:pPr>
              <w:widowControl/>
              <w:tabs>
                <w:tab w:val="left" w:pos="900"/>
              </w:tabs>
              <w:spacing w:line="280" w:lineRule="exact"/>
              <w:ind w:left="-42" w:leftChars="-20" w:right="-111" w:rightChars="-53"/>
              <w:rPr>
                <w:rFonts w:hint="eastAsia" w:ascii="仿宋" w:hAnsi="仿宋" w:eastAsia="仿宋" w:cs="仿宋"/>
                <w:szCs w:val="21"/>
              </w:rPr>
            </w:pPr>
            <w:r>
              <w:rPr>
                <w:rFonts w:hint="eastAsia" w:ascii="仿宋" w:hAnsi="仿宋" w:eastAsia="仿宋" w:cs="仿宋"/>
                <w:szCs w:val="21"/>
              </w:rPr>
              <w:t>3.市、校、院及重点、一般项目分别为</w:t>
            </w:r>
          </w:p>
          <w:p>
            <w:pPr>
              <w:widowControl/>
              <w:tabs>
                <w:tab w:val="left" w:pos="900"/>
              </w:tabs>
              <w:spacing w:line="280" w:lineRule="exact"/>
              <w:ind w:left="-42" w:leftChars="-20" w:right="-111" w:rightChars="-53"/>
              <w:rPr>
                <w:rFonts w:hint="eastAsia" w:ascii="仿宋" w:hAnsi="仿宋" w:eastAsia="仿宋" w:cs="仿宋"/>
                <w:szCs w:val="21"/>
              </w:rPr>
            </w:pPr>
            <w:r>
              <w:rPr>
                <w:rFonts w:hint="eastAsia" w:ascii="仿宋" w:hAnsi="仿宋" w:eastAsia="仿宋" w:cs="仿宋"/>
                <w:szCs w:val="21"/>
              </w:rPr>
              <w:t>20分/项、10分/项。</w:t>
            </w:r>
          </w:p>
        </w:tc>
        <w:tc>
          <w:tcPr>
            <w:tcW w:w="1365" w:type="dxa"/>
            <w:vMerge w:val="continue"/>
            <w:noWrap w:val="0"/>
            <w:vAlign w:val="top"/>
          </w:tcPr>
          <w:p>
            <w:pPr>
              <w:spacing w:line="280" w:lineRule="exact"/>
              <w:ind w:firstLine="420" w:firstLineChars="200"/>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9" w:hRule="atLeast"/>
          <w:jc w:val="center"/>
        </w:trPr>
        <w:tc>
          <w:tcPr>
            <w:tcW w:w="1215" w:type="dxa"/>
            <w:vMerge w:val="continue"/>
            <w:noWrap w:val="0"/>
            <w:vAlign w:val="top"/>
          </w:tcPr>
          <w:p>
            <w:pPr>
              <w:spacing w:line="280" w:lineRule="exact"/>
              <w:ind w:firstLine="420" w:firstLineChars="200"/>
              <w:rPr>
                <w:rFonts w:hint="eastAsia" w:ascii="仿宋" w:hAnsi="仿宋" w:eastAsia="仿宋" w:cs="仿宋"/>
                <w:szCs w:val="21"/>
              </w:rPr>
            </w:pPr>
          </w:p>
        </w:tc>
        <w:tc>
          <w:tcPr>
            <w:tcW w:w="1168" w:type="dxa"/>
            <w:vMerge w:val="restart"/>
            <w:noWrap w:val="0"/>
            <w:vAlign w:val="center"/>
          </w:tcPr>
          <w:p>
            <w:pPr>
              <w:spacing w:line="280" w:lineRule="exact"/>
              <w:jc w:val="left"/>
              <w:rPr>
                <w:rFonts w:hint="eastAsia" w:ascii="仿宋" w:hAnsi="仿宋" w:eastAsia="仿宋" w:cs="仿宋"/>
                <w:szCs w:val="21"/>
              </w:rPr>
            </w:pPr>
            <w:r>
              <w:rPr>
                <w:rFonts w:hint="eastAsia" w:ascii="仿宋" w:hAnsi="仿宋" w:eastAsia="仿宋" w:cs="仿宋"/>
                <w:szCs w:val="21"/>
              </w:rPr>
              <w:t>教学研究论文及论著（论文）</w:t>
            </w:r>
          </w:p>
          <w:p>
            <w:pPr>
              <w:spacing w:line="280" w:lineRule="exact"/>
              <w:jc w:val="left"/>
              <w:rPr>
                <w:rFonts w:hint="eastAsia" w:ascii="仿宋" w:hAnsi="仿宋" w:eastAsia="仿宋" w:cs="仿宋"/>
                <w:szCs w:val="21"/>
              </w:rPr>
            </w:pPr>
            <w:r>
              <w:rPr>
                <w:rFonts w:hint="eastAsia" w:ascii="仿宋" w:hAnsi="仿宋" w:eastAsia="仿宋" w:cs="仿宋"/>
                <w:szCs w:val="21"/>
              </w:rPr>
              <w:t>(S</w:t>
            </w:r>
            <w:r>
              <w:rPr>
                <w:rFonts w:hint="eastAsia" w:ascii="仿宋" w:hAnsi="仿宋" w:eastAsia="仿宋" w:cs="仿宋"/>
                <w:szCs w:val="21"/>
                <w:vertAlign w:val="subscript"/>
              </w:rPr>
              <w:t>32</w:t>
            </w:r>
            <w:r>
              <w:rPr>
                <w:rFonts w:hint="eastAsia" w:ascii="仿宋" w:hAnsi="仿宋" w:eastAsia="仿宋" w:cs="仿宋"/>
                <w:szCs w:val="21"/>
              </w:rPr>
              <w:t>)</w:t>
            </w:r>
          </w:p>
        </w:tc>
        <w:tc>
          <w:tcPr>
            <w:tcW w:w="1726" w:type="dxa"/>
            <w:noWrap w:val="0"/>
            <w:vAlign w:val="center"/>
          </w:tcPr>
          <w:p>
            <w:pPr>
              <w:widowControl/>
              <w:tabs>
                <w:tab w:val="left" w:pos="900"/>
              </w:tabs>
              <w:spacing w:line="280" w:lineRule="exact"/>
              <w:ind w:left="-63" w:leftChars="-30" w:right="-82" w:rightChars="-39" w:firstLine="1"/>
              <w:rPr>
                <w:rFonts w:hint="eastAsia" w:ascii="仿宋" w:hAnsi="仿宋" w:eastAsia="仿宋" w:cs="仿宋"/>
                <w:szCs w:val="21"/>
              </w:rPr>
            </w:pPr>
            <w:r>
              <w:rPr>
                <w:rFonts w:hint="eastAsia" w:ascii="仿宋" w:hAnsi="仿宋" w:eastAsia="仿宋" w:cs="仿宋"/>
                <w:szCs w:val="21"/>
              </w:rPr>
              <w:t>公开发表教学研究论文（注4）</w:t>
            </w:r>
          </w:p>
        </w:tc>
        <w:tc>
          <w:tcPr>
            <w:tcW w:w="3780" w:type="dxa"/>
            <w:noWrap w:val="0"/>
            <w:vAlign w:val="center"/>
          </w:tcPr>
          <w:p>
            <w:pPr>
              <w:widowControl/>
              <w:tabs>
                <w:tab w:val="left" w:pos="900"/>
              </w:tabs>
              <w:spacing w:line="300" w:lineRule="exact"/>
              <w:ind w:left="-31" w:right="-86" w:rightChars="-41"/>
              <w:rPr>
                <w:rFonts w:hint="eastAsia" w:ascii="仿宋" w:hAnsi="仿宋" w:eastAsia="仿宋" w:cs="仿宋"/>
                <w:kern w:val="0"/>
                <w:szCs w:val="21"/>
              </w:rPr>
            </w:pPr>
            <w:r>
              <w:rPr>
                <w:rFonts w:hint="eastAsia" w:ascii="仿宋" w:hAnsi="仿宋" w:eastAsia="仿宋" w:cs="仿宋"/>
                <w:szCs w:val="21"/>
              </w:rPr>
              <w:t>1.</w:t>
            </w:r>
            <w:r>
              <w:rPr>
                <w:rFonts w:hint="eastAsia" w:ascii="仿宋" w:hAnsi="仿宋" w:eastAsia="仿宋" w:cs="仿宋"/>
                <w:kern w:val="0"/>
                <w:szCs w:val="21"/>
              </w:rPr>
              <w:t>以第一作者在一级期刊发表论文得20分；</w:t>
            </w:r>
          </w:p>
          <w:p>
            <w:pPr>
              <w:widowControl/>
              <w:tabs>
                <w:tab w:val="left" w:pos="900"/>
              </w:tabs>
              <w:spacing w:line="300" w:lineRule="exact"/>
              <w:ind w:left="-31" w:right="-86" w:rightChars="-41"/>
              <w:rPr>
                <w:rFonts w:hint="eastAsia" w:ascii="仿宋" w:hAnsi="仿宋" w:eastAsia="仿宋" w:cs="仿宋"/>
                <w:kern w:val="0"/>
                <w:szCs w:val="21"/>
              </w:rPr>
            </w:pPr>
            <w:r>
              <w:rPr>
                <w:rFonts w:hint="eastAsia" w:ascii="仿宋" w:hAnsi="仿宋" w:eastAsia="仿宋" w:cs="仿宋"/>
                <w:kern w:val="0"/>
                <w:szCs w:val="21"/>
              </w:rPr>
              <w:t>2.以第一作者在核心期刊发表论文得10分；</w:t>
            </w:r>
          </w:p>
          <w:p>
            <w:pPr>
              <w:widowControl/>
              <w:tabs>
                <w:tab w:val="left" w:pos="900"/>
              </w:tabs>
              <w:spacing w:line="300" w:lineRule="exact"/>
              <w:ind w:left="-31" w:right="-86" w:rightChars="-41"/>
              <w:rPr>
                <w:rFonts w:hint="eastAsia" w:ascii="仿宋" w:hAnsi="仿宋" w:eastAsia="仿宋" w:cs="仿宋"/>
                <w:szCs w:val="21"/>
              </w:rPr>
            </w:pPr>
            <w:r>
              <w:rPr>
                <w:rFonts w:hint="eastAsia" w:ascii="仿宋" w:hAnsi="仿宋" w:eastAsia="仿宋" w:cs="仿宋"/>
                <w:kern w:val="0"/>
                <w:szCs w:val="21"/>
              </w:rPr>
              <w:t>3.以第一作者在正规一般期刊发表论文得3分。</w:t>
            </w:r>
          </w:p>
        </w:tc>
        <w:tc>
          <w:tcPr>
            <w:tcW w:w="1365" w:type="dxa"/>
            <w:noWrap w:val="0"/>
            <w:vAlign w:val="top"/>
          </w:tcPr>
          <w:p>
            <w:pPr>
              <w:spacing w:line="280" w:lineRule="exact"/>
              <w:ind w:firstLine="420" w:firstLineChars="200"/>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9" w:hRule="atLeast"/>
          <w:jc w:val="center"/>
        </w:trPr>
        <w:tc>
          <w:tcPr>
            <w:tcW w:w="1215" w:type="dxa"/>
            <w:vMerge w:val="continue"/>
            <w:noWrap w:val="0"/>
            <w:vAlign w:val="top"/>
          </w:tcPr>
          <w:p>
            <w:pPr>
              <w:spacing w:line="280" w:lineRule="exact"/>
              <w:ind w:firstLine="420" w:firstLineChars="200"/>
              <w:rPr>
                <w:rFonts w:hint="eastAsia" w:ascii="仿宋" w:hAnsi="仿宋" w:eastAsia="仿宋" w:cs="仿宋"/>
                <w:szCs w:val="21"/>
              </w:rPr>
            </w:pPr>
          </w:p>
        </w:tc>
        <w:tc>
          <w:tcPr>
            <w:tcW w:w="1168" w:type="dxa"/>
            <w:vMerge w:val="continue"/>
            <w:noWrap w:val="0"/>
            <w:vAlign w:val="center"/>
          </w:tcPr>
          <w:p>
            <w:pPr>
              <w:spacing w:line="280" w:lineRule="exact"/>
              <w:ind w:firstLine="420" w:firstLineChars="200"/>
              <w:rPr>
                <w:rFonts w:hint="eastAsia" w:ascii="仿宋" w:hAnsi="仿宋" w:eastAsia="仿宋" w:cs="仿宋"/>
                <w:szCs w:val="21"/>
              </w:rPr>
            </w:pPr>
          </w:p>
        </w:tc>
        <w:tc>
          <w:tcPr>
            <w:tcW w:w="1726" w:type="dxa"/>
            <w:noWrap w:val="0"/>
            <w:vAlign w:val="center"/>
          </w:tcPr>
          <w:p>
            <w:pPr>
              <w:widowControl/>
              <w:tabs>
                <w:tab w:val="left" w:pos="900"/>
              </w:tabs>
              <w:spacing w:line="280" w:lineRule="exact"/>
              <w:ind w:left="-63" w:leftChars="-30" w:right="-82" w:rightChars="-39" w:firstLine="1"/>
              <w:rPr>
                <w:rFonts w:hint="eastAsia" w:ascii="仿宋" w:hAnsi="仿宋" w:eastAsia="仿宋" w:cs="仿宋"/>
                <w:szCs w:val="21"/>
              </w:rPr>
            </w:pPr>
            <w:r>
              <w:rPr>
                <w:rFonts w:hint="eastAsia" w:ascii="仿宋" w:hAnsi="仿宋" w:eastAsia="仿宋" w:cs="仿宋"/>
                <w:szCs w:val="21"/>
              </w:rPr>
              <w:t>公开发表专著</w:t>
            </w:r>
          </w:p>
        </w:tc>
        <w:tc>
          <w:tcPr>
            <w:tcW w:w="3780" w:type="dxa"/>
            <w:noWrap w:val="0"/>
            <w:vAlign w:val="center"/>
          </w:tcPr>
          <w:p>
            <w:pPr>
              <w:spacing w:line="280" w:lineRule="exact"/>
              <w:rPr>
                <w:rFonts w:hint="eastAsia" w:ascii="仿宋" w:hAnsi="仿宋" w:eastAsia="仿宋" w:cs="仿宋"/>
                <w:szCs w:val="21"/>
              </w:rPr>
            </w:pPr>
            <w:r>
              <w:rPr>
                <w:rFonts w:hint="eastAsia" w:ascii="仿宋" w:hAnsi="仿宋" w:eastAsia="仿宋" w:cs="仿宋"/>
                <w:szCs w:val="21"/>
              </w:rPr>
              <w:t>1.国家级出版社50分/本；</w:t>
            </w:r>
          </w:p>
          <w:p>
            <w:pPr>
              <w:spacing w:line="280" w:lineRule="exact"/>
              <w:rPr>
                <w:rFonts w:hint="eastAsia" w:ascii="仿宋" w:hAnsi="仿宋" w:eastAsia="仿宋" w:cs="仿宋"/>
                <w:szCs w:val="21"/>
              </w:rPr>
            </w:pPr>
            <w:r>
              <w:rPr>
                <w:rFonts w:hint="eastAsia" w:ascii="仿宋" w:hAnsi="仿宋" w:eastAsia="仿宋" w:cs="仿宋"/>
                <w:szCs w:val="21"/>
              </w:rPr>
              <w:t>2.省级以下出版社30分/本；</w:t>
            </w:r>
          </w:p>
          <w:p>
            <w:pPr>
              <w:widowControl/>
              <w:spacing w:line="300" w:lineRule="exact"/>
              <w:ind w:left="-31" w:right="-86" w:rightChars="-41"/>
              <w:rPr>
                <w:rFonts w:hint="eastAsia" w:ascii="仿宋" w:hAnsi="仿宋" w:eastAsia="仿宋" w:cs="仿宋"/>
                <w:szCs w:val="21"/>
              </w:rPr>
            </w:pPr>
            <w:r>
              <w:rPr>
                <w:rFonts w:hint="eastAsia" w:ascii="仿宋" w:hAnsi="仿宋" w:eastAsia="仿宋" w:cs="仿宋"/>
                <w:szCs w:val="21"/>
              </w:rPr>
              <w:t>3.译著10分/本。</w:t>
            </w:r>
          </w:p>
        </w:tc>
        <w:tc>
          <w:tcPr>
            <w:tcW w:w="1365" w:type="dxa"/>
            <w:noWrap w:val="0"/>
            <w:vAlign w:val="top"/>
          </w:tcPr>
          <w:p>
            <w:pPr>
              <w:spacing w:line="280" w:lineRule="exact"/>
              <w:ind w:firstLine="420" w:firstLineChars="200"/>
              <w:rPr>
                <w:rFonts w:hint="eastAsia" w:ascii="仿宋" w:hAnsi="仿宋" w:eastAsia="仿宋" w:cs="仿宋"/>
                <w:szCs w:val="21"/>
              </w:rPr>
            </w:pPr>
          </w:p>
        </w:tc>
      </w:tr>
    </w:tbl>
    <w:p>
      <w:pPr>
        <w:spacing w:line="420" w:lineRule="exact"/>
        <w:ind w:firstLine="420" w:firstLineChars="200"/>
        <w:rPr>
          <w:rFonts w:hint="eastAsia" w:ascii="宋体" w:hAnsi="宋体"/>
          <w:szCs w:val="21"/>
        </w:rPr>
      </w:pPr>
      <w:r>
        <w:rPr>
          <w:rFonts w:hint="eastAsia" w:ascii="宋体" w:hAnsi="宋体"/>
          <w:szCs w:val="21"/>
        </w:rPr>
        <w:t>注释：</w:t>
      </w:r>
    </w:p>
    <w:p>
      <w:pPr>
        <w:spacing w:line="420" w:lineRule="exact"/>
        <w:ind w:firstLine="420" w:firstLineChars="200"/>
        <w:rPr>
          <w:rFonts w:hint="eastAsia" w:ascii="宋体" w:hAnsi="宋体"/>
          <w:szCs w:val="21"/>
        </w:rPr>
      </w:pPr>
      <w:r>
        <w:rPr>
          <w:rFonts w:hint="eastAsia" w:ascii="宋体" w:hAnsi="宋体"/>
          <w:szCs w:val="21"/>
        </w:rPr>
        <w:t>1.专任教师的教学工作量最低要求：参照《浙江农林大学暨阳学院2018年岗位设置与聘用实施方案》中岗位聘期业绩点任务要求。</w:t>
      </w:r>
    </w:p>
    <w:p>
      <w:pPr>
        <w:spacing w:line="420" w:lineRule="exact"/>
        <w:ind w:firstLine="420" w:firstLineChars="200"/>
        <w:rPr>
          <w:rFonts w:hint="eastAsia" w:ascii="宋体" w:hAnsi="宋体"/>
          <w:szCs w:val="21"/>
        </w:rPr>
      </w:pPr>
      <w:r>
        <w:rPr>
          <w:rFonts w:hint="eastAsia" w:ascii="宋体" w:hAnsi="宋体"/>
          <w:szCs w:val="21"/>
        </w:rPr>
        <w:t>2.学生评教每学期进行两次，以教务与科技部提供的数据为准。</w:t>
      </w:r>
    </w:p>
    <w:p>
      <w:pPr>
        <w:spacing w:line="420" w:lineRule="exact"/>
        <w:ind w:firstLine="420" w:firstLineChars="200"/>
        <w:rPr>
          <w:rFonts w:hint="eastAsia" w:ascii="宋体" w:hAnsi="宋体"/>
          <w:szCs w:val="21"/>
        </w:rPr>
      </w:pPr>
      <w:r>
        <w:rPr>
          <w:rFonts w:hint="eastAsia" w:ascii="宋体" w:hAnsi="宋体"/>
          <w:szCs w:val="21"/>
        </w:rPr>
        <w:t>3.多人参与的项目，项目组成员计分由项目负责人按承担任务大小协商分摊，或参照下述规定执行：二个主持或完成人按6：4；三个主持或完成人按5：3；2；四个主持或完成人按4：3：2：1；五个主持或完成人按4：2：2：1：1比例给予相应比例的业绩分。</w:t>
      </w:r>
    </w:p>
    <w:p>
      <w:pPr>
        <w:spacing w:line="420" w:lineRule="exact"/>
        <w:ind w:firstLine="420" w:firstLineChars="200"/>
        <w:rPr>
          <w:rFonts w:hint="eastAsia" w:ascii="宋体" w:hAnsi="宋体"/>
          <w:szCs w:val="21"/>
        </w:rPr>
      </w:pPr>
      <w:r>
        <w:rPr>
          <w:rFonts w:hint="eastAsia" w:ascii="宋体" w:hAnsi="宋体"/>
          <w:szCs w:val="21"/>
        </w:rPr>
        <w:t>4.一级期刊论文以《浙江大学学术期刊名录（2012版）》为准；核心期刊论文以《浙江大学期刊定级标准（最新版）》为准。</w:t>
      </w:r>
    </w:p>
    <w:p>
      <w:pPr>
        <w:spacing w:line="420" w:lineRule="exact"/>
        <w:ind w:firstLine="420" w:firstLineChars="200"/>
        <w:rPr>
          <w:rFonts w:hint="eastAsia" w:ascii="宋体" w:hAnsi="宋体" w:cs="宋体"/>
          <w:szCs w:val="21"/>
        </w:rPr>
      </w:pPr>
      <w:r>
        <w:rPr>
          <w:rFonts w:hint="eastAsia" w:ascii="宋体" w:hAnsi="宋体" w:cs="宋体"/>
          <w:szCs w:val="21"/>
        </w:rPr>
        <w:t>5.重点学科、专业建设期限为4年，国家级精品课程建设期限为5年，省、校（院）级精品课程及双语课程建设期限为3年，国家级实验教学示范中心建设期限为5年，省级实验教学示范中心建设期限为3年，实习基地、学生创新创业基地建设期限为3年。</w:t>
      </w:r>
    </w:p>
    <w:p>
      <w:pPr>
        <w:numPr>
          <w:numId w:val="0"/>
        </w:numPr>
        <w:tabs>
          <w:tab w:val="left" w:pos="0"/>
        </w:tabs>
        <w:spacing w:line="560" w:lineRule="exact"/>
        <w:ind w:leftChars="200"/>
        <w:jc w:val="left"/>
        <w:rPr>
          <w:rFonts w:ascii="仿宋_GB2312" w:hAnsi="仿宋" w:eastAsia="仿宋_GB2312" w:cs="仿宋"/>
          <w:bCs/>
          <w:sz w:val="32"/>
          <w:szCs w:val="32"/>
        </w:rPr>
      </w:pPr>
    </w:p>
    <w:sectPr>
      <w:headerReference r:id="rId3" w:type="default"/>
      <w:footerReference r:id="rId5" w:type="default"/>
      <w:headerReference r:id="rId4" w:type="even"/>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方正大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1026"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v:path/>
          <v:fill on="f" focussize="0,0"/>
          <v:stroke on="f"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B405D"/>
    <w:multiLevelType w:val="multilevel"/>
    <w:tmpl w:val="551B405D"/>
    <w:lvl w:ilvl="0" w:tentative="0">
      <w:start w:val="1"/>
      <w:numFmt w:val="chineseCounting"/>
      <w:suff w:val="nothing"/>
      <w:lvlText w:val="第%1章　"/>
      <w:lvlJc w:val="center"/>
      <w:pPr>
        <w:tabs>
          <w:tab w:val="left" w:pos="0"/>
        </w:tabs>
        <w:ind w:firstLine="402"/>
      </w:pPr>
      <w:rPr>
        <w:rFonts w:hint="eastAsia" w:cs="Times New Roman"/>
      </w:rPr>
    </w:lvl>
    <w:lvl w:ilvl="1" w:tentative="0">
      <w:start w:val="1"/>
      <w:numFmt w:val="chineseCounting"/>
      <w:suff w:val="nothing"/>
      <w:lvlText w:val="第%2节　"/>
      <w:lvlJc w:val="left"/>
      <w:pPr>
        <w:ind w:firstLine="402"/>
      </w:pPr>
      <w:rPr>
        <w:rFonts w:hint="eastAsia" w:cs="Times New Roman"/>
      </w:rPr>
    </w:lvl>
    <w:lvl w:ilvl="2" w:tentative="0">
      <w:start w:val="1"/>
      <w:numFmt w:val="chineseCounting"/>
      <w:suff w:val="nothing"/>
      <w:lvlText w:val="第%3条　"/>
      <w:lvlJc w:val="left"/>
      <w:pPr>
        <w:ind w:firstLine="402"/>
      </w:pPr>
      <w:rPr>
        <w:rFonts w:hint="eastAsia" w:cs="Times New Roman"/>
      </w:rPr>
    </w:lvl>
    <w:lvl w:ilvl="3" w:tentative="0">
      <w:start w:val="1"/>
      <w:numFmt w:val="chineseCounting"/>
      <w:suff w:val="nothing"/>
      <w:lvlText w:val="（%4）"/>
      <w:lvlJc w:val="left"/>
      <w:pPr>
        <w:ind w:firstLine="402"/>
      </w:pPr>
      <w:rPr>
        <w:rFonts w:hint="eastAsia" w:cs="Times New Roman"/>
      </w:rPr>
    </w:lvl>
    <w:lvl w:ilvl="4" w:tentative="0">
      <w:start w:val="1"/>
      <w:numFmt w:val="decimal"/>
      <w:suff w:val="nothing"/>
      <w:lvlText w:val="%5．"/>
      <w:lvlJc w:val="left"/>
      <w:pPr>
        <w:ind w:firstLine="402"/>
      </w:pPr>
      <w:rPr>
        <w:rFonts w:hint="eastAsia" w:cs="Times New Roman"/>
      </w:rPr>
    </w:lvl>
    <w:lvl w:ilvl="5" w:tentative="0">
      <w:start w:val="1"/>
      <w:numFmt w:val="decimal"/>
      <w:suff w:val="nothing"/>
      <w:lvlText w:val="（%6）"/>
      <w:lvlJc w:val="left"/>
      <w:pPr>
        <w:ind w:firstLine="402"/>
      </w:pPr>
      <w:rPr>
        <w:rFonts w:hint="eastAsia" w:cs="Times New Roman"/>
      </w:rPr>
    </w:lvl>
    <w:lvl w:ilvl="6" w:tentative="0">
      <w:start w:val="1"/>
      <w:numFmt w:val="decimalEnclosedCircleChinese"/>
      <w:suff w:val="nothing"/>
      <w:lvlText w:val="%7 "/>
      <w:lvlJc w:val="left"/>
      <w:pPr>
        <w:ind w:firstLine="402"/>
      </w:pPr>
      <w:rPr>
        <w:rFonts w:hint="eastAsia" w:cs="Times New Roman"/>
      </w:rPr>
    </w:lvl>
    <w:lvl w:ilvl="7" w:tentative="0">
      <w:start w:val="1"/>
      <w:numFmt w:val="decimal"/>
      <w:suff w:val="nothing"/>
      <w:lvlText w:val="%8）"/>
      <w:lvlJc w:val="left"/>
      <w:pPr>
        <w:ind w:firstLine="402"/>
      </w:pPr>
      <w:rPr>
        <w:rFonts w:hint="eastAsia" w:cs="Times New Roman"/>
      </w:rPr>
    </w:lvl>
    <w:lvl w:ilvl="8" w:tentative="0">
      <w:start w:val="1"/>
      <w:numFmt w:val="lowerLetter"/>
      <w:suff w:val="nothing"/>
      <w:lvlText w:val="%9．"/>
      <w:lvlJc w:val="left"/>
      <w:pPr>
        <w:ind w:firstLine="402"/>
      </w:pPr>
      <w:rPr>
        <w:rFonts w:hint="eastAsia" w:cs="Times New Roman"/>
      </w:rPr>
    </w:lvl>
  </w:abstractNum>
  <w:abstractNum w:abstractNumId="1">
    <w:nsid w:val="551B424C"/>
    <w:multiLevelType w:val="multilevel"/>
    <w:tmpl w:val="551B424C"/>
    <w:lvl w:ilvl="0" w:tentative="0">
      <w:start w:val="1"/>
      <w:numFmt w:val="chineseCountingThousand"/>
      <w:lvlText w:val="第%1条"/>
      <w:lvlJc w:val="left"/>
      <w:pPr>
        <w:tabs>
          <w:tab w:val="left" w:pos="1755"/>
        </w:tabs>
        <w:ind w:left="1755" w:hanging="855"/>
      </w:pPr>
      <w:rPr>
        <w:rFonts w:hint="eastAsia" w:cs="Times New Roman"/>
        <w:b/>
      </w:rPr>
    </w:lvl>
    <w:lvl w:ilvl="1" w:tentative="0">
      <w:start w:val="1"/>
      <w:numFmt w:val="lowerLetter"/>
      <w:lvlText w:val="%2)"/>
      <w:lvlJc w:val="left"/>
      <w:pPr>
        <w:tabs>
          <w:tab w:val="left" w:pos="780"/>
        </w:tabs>
        <w:ind w:left="780" w:hanging="420"/>
      </w:pPr>
      <w:rPr>
        <w:rFonts w:hint="eastAsia" w:cs="Times New Roman"/>
      </w:rPr>
    </w:lvl>
    <w:lvl w:ilvl="2" w:tentative="0">
      <w:start w:val="1"/>
      <w:numFmt w:val="lowerRoman"/>
      <w:lvlText w:val="%3."/>
      <w:lvlJc w:val="right"/>
      <w:pPr>
        <w:tabs>
          <w:tab w:val="left" w:pos="1200"/>
        </w:tabs>
        <w:ind w:left="1200" w:hanging="420"/>
      </w:pPr>
      <w:rPr>
        <w:rFonts w:hint="eastAsia" w:cs="Times New Roman"/>
      </w:rPr>
    </w:lvl>
    <w:lvl w:ilvl="3" w:tentative="0">
      <w:start w:val="1"/>
      <w:numFmt w:val="decimal"/>
      <w:lvlText w:val="%4."/>
      <w:lvlJc w:val="left"/>
      <w:pPr>
        <w:tabs>
          <w:tab w:val="left" w:pos="1620"/>
        </w:tabs>
        <w:ind w:left="1620" w:hanging="420"/>
      </w:pPr>
      <w:rPr>
        <w:rFonts w:hint="eastAsia" w:cs="Times New Roman"/>
      </w:rPr>
    </w:lvl>
    <w:lvl w:ilvl="4" w:tentative="0">
      <w:start w:val="1"/>
      <w:numFmt w:val="lowerLetter"/>
      <w:lvlText w:val="%5)"/>
      <w:lvlJc w:val="left"/>
      <w:pPr>
        <w:tabs>
          <w:tab w:val="left" w:pos="2040"/>
        </w:tabs>
        <w:ind w:left="2040" w:hanging="420"/>
      </w:pPr>
      <w:rPr>
        <w:rFonts w:hint="eastAsia" w:cs="Times New Roman"/>
      </w:rPr>
    </w:lvl>
    <w:lvl w:ilvl="5" w:tentative="0">
      <w:start w:val="1"/>
      <w:numFmt w:val="lowerRoman"/>
      <w:lvlText w:val="%6."/>
      <w:lvlJc w:val="right"/>
      <w:pPr>
        <w:tabs>
          <w:tab w:val="left" w:pos="2460"/>
        </w:tabs>
        <w:ind w:left="2460" w:hanging="420"/>
      </w:pPr>
      <w:rPr>
        <w:rFonts w:hint="eastAsia" w:cs="Times New Roman"/>
      </w:rPr>
    </w:lvl>
    <w:lvl w:ilvl="6" w:tentative="0">
      <w:start w:val="1"/>
      <w:numFmt w:val="decimal"/>
      <w:lvlText w:val="%7."/>
      <w:lvlJc w:val="left"/>
      <w:pPr>
        <w:tabs>
          <w:tab w:val="left" w:pos="2880"/>
        </w:tabs>
        <w:ind w:left="2880" w:hanging="420"/>
      </w:pPr>
      <w:rPr>
        <w:rFonts w:hint="eastAsia" w:cs="Times New Roman"/>
      </w:rPr>
    </w:lvl>
    <w:lvl w:ilvl="7" w:tentative="0">
      <w:start w:val="1"/>
      <w:numFmt w:val="lowerLetter"/>
      <w:lvlText w:val="%8)"/>
      <w:lvlJc w:val="left"/>
      <w:pPr>
        <w:tabs>
          <w:tab w:val="left" w:pos="3300"/>
        </w:tabs>
        <w:ind w:left="3300" w:hanging="420"/>
      </w:pPr>
      <w:rPr>
        <w:rFonts w:hint="eastAsia" w:cs="Times New Roman"/>
      </w:rPr>
    </w:lvl>
    <w:lvl w:ilvl="8" w:tentative="0">
      <w:start w:val="1"/>
      <w:numFmt w:val="lowerRoman"/>
      <w:lvlText w:val="%9."/>
      <w:lvlJc w:val="right"/>
      <w:pPr>
        <w:tabs>
          <w:tab w:val="left" w:pos="3720"/>
        </w:tabs>
        <w:ind w:left="3720" w:hanging="420"/>
      </w:pPr>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4DCC56B4"/>
    <w:rsid w:val="000160F5"/>
    <w:rsid w:val="00022EE5"/>
    <w:rsid w:val="000470F6"/>
    <w:rsid w:val="00047474"/>
    <w:rsid w:val="000640B4"/>
    <w:rsid w:val="0007378C"/>
    <w:rsid w:val="00075421"/>
    <w:rsid w:val="0008752D"/>
    <w:rsid w:val="000960F5"/>
    <w:rsid w:val="000B2483"/>
    <w:rsid w:val="000B4393"/>
    <w:rsid w:val="000D3AEC"/>
    <w:rsid w:val="000D4090"/>
    <w:rsid w:val="000D5B33"/>
    <w:rsid w:val="000E56B6"/>
    <w:rsid w:val="000E62E9"/>
    <w:rsid w:val="000F17E9"/>
    <w:rsid w:val="000F23C2"/>
    <w:rsid w:val="000F4CB0"/>
    <w:rsid w:val="00126366"/>
    <w:rsid w:val="00133F11"/>
    <w:rsid w:val="00141786"/>
    <w:rsid w:val="00150B45"/>
    <w:rsid w:val="001510A5"/>
    <w:rsid w:val="00181D97"/>
    <w:rsid w:val="0018488E"/>
    <w:rsid w:val="00191B7C"/>
    <w:rsid w:val="00195B69"/>
    <w:rsid w:val="001C0B23"/>
    <w:rsid w:val="001C2BEC"/>
    <w:rsid w:val="001D0FB7"/>
    <w:rsid w:val="001F0A2C"/>
    <w:rsid w:val="002075C9"/>
    <w:rsid w:val="0021158F"/>
    <w:rsid w:val="0021327F"/>
    <w:rsid w:val="0023240E"/>
    <w:rsid w:val="00246E6A"/>
    <w:rsid w:val="00260A78"/>
    <w:rsid w:val="00263DAB"/>
    <w:rsid w:val="00272DA1"/>
    <w:rsid w:val="00274D4B"/>
    <w:rsid w:val="0028570A"/>
    <w:rsid w:val="002A20D5"/>
    <w:rsid w:val="002A22B7"/>
    <w:rsid w:val="002A28CD"/>
    <w:rsid w:val="002A4955"/>
    <w:rsid w:val="002D2970"/>
    <w:rsid w:val="002D7269"/>
    <w:rsid w:val="002E45D6"/>
    <w:rsid w:val="002F67A5"/>
    <w:rsid w:val="00307FDD"/>
    <w:rsid w:val="00314756"/>
    <w:rsid w:val="003174C6"/>
    <w:rsid w:val="003417EA"/>
    <w:rsid w:val="00346A3A"/>
    <w:rsid w:val="00355500"/>
    <w:rsid w:val="003628B7"/>
    <w:rsid w:val="00365C3B"/>
    <w:rsid w:val="003662F8"/>
    <w:rsid w:val="00385AFF"/>
    <w:rsid w:val="003906FC"/>
    <w:rsid w:val="00393CB2"/>
    <w:rsid w:val="00394F46"/>
    <w:rsid w:val="00395A0D"/>
    <w:rsid w:val="003C3A1C"/>
    <w:rsid w:val="00413676"/>
    <w:rsid w:val="00433435"/>
    <w:rsid w:val="00440FE8"/>
    <w:rsid w:val="00470F8C"/>
    <w:rsid w:val="00481CB4"/>
    <w:rsid w:val="004A3A47"/>
    <w:rsid w:val="004C3F78"/>
    <w:rsid w:val="004C6A21"/>
    <w:rsid w:val="004E6C93"/>
    <w:rsid w:val="004F1300"/>
    <w:rsid w:val="00506CA8"/>
    <w:rsid w:val="00507F4B"/>
    <w:rsid w:val="00531526"/>
    <w:rsid w:val="00555A04"/>
    <w:rsid w:val="00573E4C"/>
    <w:rsid w:val="005D018D"/>
    <w:rsid w:val="005F2FD8"/>
    <w:rsid w:val="005F6242"/>
    <w:rsid w:val="00616C5B"/>
    <w:rsid w:val="00626FDA"/>
    <w:rsid w:val="00642AFE"/>
    <w:rsid w:val="006546ED"/>
    <w:rsid w:val="006555E6"/>
    <w:rsid w:val="00660C4E"/>
    <w:rsid w:val="00661A84"/>
    <w:rsid w:val="006723D2"/>
    <w:rsid w:val="00673E3E"/>
    <w:rsid w:val="006762E4"/>
    <w:rsid w:val="006B1B8C"/>
    <w:rsid w:val="006B4B32"/>
    <w:rsid w:val="006C576A"/>
    <w:rsid w:val="006F0079"/>
    <w:rsid w:val="00705389"/>
    <w:rsid w:val="00723FDE"/>
    <w:rsid w:val="00755957"/>
    <w:rsid w:val="00794EF3"/>
    <w:rsid w:val="007E1983"/>
    <w:rsid w:val="007E5B46"/>
    <w:rsid w:val="00823164"/>
    <w:rsid w:val="00832082"/>
    <w:rsid w:val="00840A4C"/>
    <w:rsid w:val="00843041"/>
    <w:rsid w:val="008448C7"/>
    <w:rsid w:val="00844A85"/>
    <w:rsid w:val="0086085E"/>
    <w:rsid w:val="008627BB"/>
    <w:rsid w:val="00872013"/>
    <w:rsid w:val="00882709"/>
    <w:rsid w:val="008937F7"/>
    <w:rsid w:val="00896184"/>
    <w:rsid w:val="00897FDF"/>
    <w:rsid w:val="008C1D25"/>
    <w:rsid w:val="008E0DFF"/>
    <w:rsid w:val="008E5FBA"/>
    <w:rsid w:val="009305DD"/>
    <w:rsid w:val="00932AE0"/>
    <w:rsid w:val="00941B18"/>
    <w:rsid w:val="00951777"/>
    <w:rsid w:val="009546DA"/>
    <w:rsid w:val="00956012"/>
    <w:rsid w:val="00956350"/>
    <w:rsid w:val="00965074"/>
    <w:rsid w:val="009753C8"/>
    <w:rsid w:val="00986EA6"/>
    <w:rsid w:val="00990302"/>
    <w:rsid w:val="009A7A4D"/>
    <w:rsid w:val="009D23DD"/>
    <w:rsid w:val="009D2EC6"/>
    <w:rsid w:val="009D3C43"/>
    <w:rsid w:val="009D4B70"/>
    <w:rsid w:val="009D66F3"/>
    <w:rsid w:val="009E0EBE"/>
    <w:rsid w:val="009F44C7"/>
    <w:rsid w:val="00A0705C"/>
    <w:rsid w:val="00A175AF"/>
    <w:rsid w:val="00A24052"/>
    <w:rsid w:val="00A265CA"/>
    <w:rsid w:val="00A31F78"/>
    <w:rsid w:val="00A36CCB"/>
    <w:rsid w:val="00A66724"/>
    <w:rsid w:val="00A7723B"/>
    <w:rsid w:val="00A7772D"/>
    <w:rsid w:val="00A97A4B"/>
    <w:rsid w:val="00AC1FD8"/>
    <w:rsid w:val="00AD677E"/>
    <w:rsid w:val="00B04A37"/>
    <w:rsid w:val="00B2433C"/>
    <w:rsid w:val="00B25CF3"/>
    <w:rsid w:val="00B364AF"/>
    <w:rsid w:val="00B4755E"/>
    <w:rsid w:val="00B54B37"/>
    <w:rsid w:val="00B8062A"/>
    <w:rsid w:val="00BB1DE4"/>
    <w:rsid w:val="00BB35EF"/>
    <w:rsid w:val="00BB6F7F"/>
    <w:rsid w:val="00BD5D38"/>
    <w:rsid w:val="00C150B3"/>
    <w:rsid w:val="00C27C11"/>
    <w:rsid w:val="00C31236"/>
    <w:rsid w:val="00C45FF1"/>
    <w:rsid w:val="00C50FCD"/>
    <w:rsid w:val="00C7326F"/>
    <w:rsid w:val="00C77ECC"/>
    <w:rsid w:val="00C80C6B"/>
    <w:rsid w:val="00C82F79"/>
    <w:rsid w:val="00C86A21"/>
    <w:rsid w:val="00CC6750"/>
    <w:rsid w:val="00CD7CB0"/>
    <w:rsid w:val="00CF0AE6"/>
    <w:rsid w:val="00D02CA3"/>
    <w:rsid w:val="00D118B2"/>
    <w:rsid w:val="00D17C23"/>
    <w:rsid w:val="00D26440"/>
    <w:rsid w:val="00D332AA"/>
    <w:rsid w:val="00D43EB1"/>
    <w:rsid w:val="00D46E06"/>
    <w:rsid w:val="00D5681E"/>
    <w:rsid w:val="00D76E77"/>
    <w:rsid w:val="00DA1002"/>
    <w:rsid w:val="00DA5D51"/>
    <w:rsid w:val="00DB5E94"/>
    <w:rsid w:val="00DD7312"/>
    <w:rsid w:val="00DF4BC4"/>
    <w:rsid w:val="00E075C3"/>
    <w:rsid w:val="00E1320A"/>
    <w:rsid w:val="00E137FE"/>
    <w:rsid w:val="00E74F41"/>
    <w:rsid w:val="00E80F0C"/>
    <w:rsid w:val="00E87501"/>
    <w:rsid w:val="00EA0730"/>
    <w:rsid w:val="00EA5255"/>
    <w:rsid w:val="00EB3290"/>
    <w:rsid w:val="00ED612A"/>
    <w:rsid w:val="00EF2747"/>
    <w:rsid w:val="00EF5542"/>
    <w:rsid w:val="00EF65A5"/>
    <w:rsid w:val="00F369C8"/>
    <w:rsid w:val="00F47995"/>
    <w:rsid w:val="00F547C3"/>
    <w:rsid w:val="00F629D0"/>
    <w:rsid w:val="00F75774"/>
    <w:rsid w:val="00F87BE0"/>
    <w:rsid w:val="00F92B8E"/>
    <w:rsid w:val="00FA114E"/>
    <w:rsid w:val="00FB169B"/>
    <w:rsid w:val="00FD092B"/>
    <w:rsid w:val="00FF1A5B"/>
    <w:rsid w:val="019D6156"/>
    <w:rsid w:val="01AE773D"/>
    <w:rsid w:val="01AF4A4E"/>
    <w:rsid w:val="025465EB"/>
    <w:rsid w:val="02B80411"/>
    <w:rsid w:val="03715D37"/>
    <w:rsid w:val="03FE7650"/>
    <w:rsid w:val="047E59F3"/>
    <w:rsid w:val="048534EC"/>
    <w:rsid w:val="04E058B8"/>
    <w:rsid w:val="053A0609"/>
    <w:rsid w:val="0574107A"/>
    <w:rsid w:val="05D84535"/>
    <w:rsid w:val="066B009E"/>
    <w:rsid w:val="066D0C49"/>
    <w:rsid w:val="06AE3382"/>
    <w:rsid w:val="06C215FB"/>
    <w:rsid w:val="06CE22DA"/>
    <w:rsid w:val="06FE052F"/>
    <w:rsid w:val="071E069E"/>
    <w:rsid w:val="07717A9C"/>
    <w:rsid w:val="07A05EA9"/>
    <w:rsid w:val="083D532E"/>
    <w:rsid w:val="084837A5"/>
    <w:rsid w:val="085C5D67"/>
    <w:rsid w:val="087F2C28"/>
    <w:rsid w:val="08C8232A"/>
    <w:rsid w:val="09247616"/>
    <w:rsid w:val="09A22909"/>
    <w:rsid w:val="0A050274"/>
    <w:rsid w:val="0A8376EE"/>
    <w:rsid w:val="0AA95110"/>
    <w:rsid w:val="0B06425F"/>
    <w:rsid w:val="0B295325"/>
    <w:rsid w:val="0BA84790"/>
    <w:rsid w:val="0BD83E12"/>
    <w:rsid w:val="0C2336C6"/>
    <w:rsid w:val="0C770F81"/>
    <w:rsid w:val="0CA80972"/>
    <w:rsid w:val="0CCA6F5C"/>
    <w:rsid w:val="0D650C0A"/>
    <w:rsid w:val="0D6E7E2B"/>
    <w:rsid w:val="0E407B2E"/>
    <w:rsid w:val="0E5621C8"/>
    <w:rsid w:val="0E8B68D6"/>
    <w:rsid w:val="0EAA0A8F"/>
    <w:rsid w:val="0EAC6105"/>
    <w:rsid w:val="0EE035ED"/>
    <w:rsid w:val="0EFF09AB"/>
    <w:rsid w:val="0F590046"/>
    <w:rsid w:val="0F84089F"/>
    <w:rsid w:val="0FA5561A"/>
    <w:rsid w:val="0FE95CB4"/>
    <w:rsid w:val="0FF56E1C"/>
    <w:rsid w:val="10CD4962"/>
    <w:rsid w:val="1144682F"/>
    <w:rsid w:val="11A33DDD"/>
    <w:rsid w:val="11F625A2"/>
    <w:rsid w:val="11FE38CD"/>
    <w:rsid w:val="12037E6A"/>
    <w:rsid w:val="122616B3"/>
    <w:rsid w:val="122C5290"/>
    <w:rsid w:val="12561344"/>
    <w:rsid w:val="12692AFA"/>
    <w:rsid w:val="127C44E1"/>
    <w:rsid w:val="128F718E"/>
    <w:rsid w:val="12F2731B"/>
    <w:rsid w:val="133E5EC8"/>
    <w:rsid w:val="146A4FAE"/>
    <w:rsid w:val="148219C7"/>
    <w:rsid w:val="14C15EBB"/>
    <w:rsid w:val="150E6C67"/>
    <w:rsid w:val="15170FAA"/>
    <w:rsid w:val="15887966"/>
    <w:rsid w:val="15A62672"/>
    <w:rsid w:val="15D547DE"/>
    <w:rsid w:val="15DE6D61"/>
    <w:rsid w:val="167E06BE"/>
    <w:rsid w:val="16AF6941"/>
    <w:rsid w:val="16B52250"/>
    <w:rsid w:val="16E31A9A"/>
    <w:rsid w:val="170C1F31"/>
    <w:rsid w:val="17C42283"/>
    <w:rsid w:val="17FC2567"/>
    <w:rsid w:val="184D232F"/>
    <w:rsid w:val="18501986"/>
    <w:rsid w:val="19084F2C"/>
    <w:rsid w:val="19895259"/>
    <w:rsid w:val="19A31DCB"/>
    <w:rsid w:val="19C21D9E"/>
    <w:rsid w:val="19D224F2"/>
    <w:rsid w:val="19E4426B"/>
    <w:rsid w:val="1A02683E"/>
    <w:rsid w:val="1B1523F8"/>
    <w:rsid w:val="1BEE6D24"/>
    <w:rsid w:val="1C4C02D5"/>
    <w:rsid w:val="1CDD55E8"/>
    <w:rsid w:val="1CE8190A"/>
    <w:rsid w:val="1DF8212D"/>
    <w:rsid w:val="1E6357FB"/>
    <w:rsid w:val="1E830137"/>
    <w:rsid w:val="1F5C4703"/>
    <w:rsid w:val="1F5C5BE2"/>
    <w:rsid w:val="200363C5"/>
    <w:rsid w:val="20400402"/>
    <w:rsid w:val="207F6BA7"/>
    <w:rsid w:val="21133826"/>
    <w:rsid w:val="212732CE"/>
    <w:rsid w:val="21AD54B3"/>
    <w:rsid w:val="224302B7"/>
    <w:rsid w:val="2248498C"/>
    <w:rsid w:val="23B00E19"/>
    <w:rsid w:val="23F24888"/>
    <w:rsid w:val="242832F3"/>
    <w:rsid w:val="244A61B5"/>
    <w:rsid w:val="24F67992"/>
    <w:rsid w:val="253854E0"/>
    <w:rsid w:val="25425A96"/>
    <w:rsid w:val="259A430C"/>
    <w:rsid w:val="25BF43FD"/>
    <w:rsid w:val="261D4C40"/>
    <w:rsid w:val="26C67391"/>
    <w:rsid w:val="26D47FA8"/>
    <w:rsid w:val="26D8614E"/>
    <w:rsid w:val="26D95A93"/>
    <w:rsid w:val="274748B0"/>
    <w:rsid w:val="276444E3"/>
    <w:rsid w:val="27E13EC1"/>
    <w:rsid w:val="28256D6A"/>
    <w:rsid w:val="287E1757"/>
    <w:rsid w:val="28AC0176"/>
    <w:rsid w:val="28FC5462"/>
    <w:rsid w:val="29345091"/>
    <w:rsid w:val="29D4610E"/>
    <w:rsid w:val="29FC6970"/>
    <w:rsid w:val="2B42496F"/>
    <w:rsid w:val="2B424EB3"/>
    <w:rsid w:val="2B45084C"/>
    <w:rsid w:val="2B863369"/>
    <w:rsid w:val="2BE81481"/>
    <w:rsid w:val="2BFE29AD"/>
    <w:rsid w:val="2C6D1888"/>
    <w:rsid w:val="2C74067E"/>
    <w:rsid w:val="2CF36C05"/>
    <w:rsid w:val="2D3A774A"/>
    <w:rsid w:val="2DA7551B"/>
    <w:rsid w:val="2E4B4E3C"/>
    <w:rsid w:val="2EC61AC8"/>
    <w:rsid w:val="2EC62DBA"/>
    <w:rsid w:val="2F172320"/>
    <w:rsid w:val="300F5B7E"/>
    <w:rsid w:val="30877443"/>
    <w:rsid w:val="30EA4661"/>
    <w:rsid w:val="310B0A3B"/>
    <w:rsid w:val="312D61AB"/>
    <w:rsid w:val="31577259"/>
    <w:rsid w:val="317A5188"/>
    <w:rsid w:val="322F6C0A"/>
    <w:rsid w:val="32643DDB"/>
    <w:rsid w:val="3282767E"/>
    <w:rsid w:val="328F0649"/>
    <w:rsid w:val="32BD5BB2"/>
    <w:rsid w:val="32E462E3"/>
    <w:rsid w:val="3322183B"/>
    <w:rsid w:val="33255193"/>
    <w:rsid w:val="33813ADA"/>
    <w:rsid w:val="33B45DF0"/>
    <w:rsid w:val="33C171F6"/>
    <w:rsid w:val="351C7BAF"/>
    <w:rsid w:val="35244EE3"/>
    <w:rsid w:val="353A75A4"/>
    <w:rsid w:val="35993293"/>
    <w:rsid w:val="35A027A3"/>
    <w:rsid w:val="36022D3A"/>
    <w:rsid w:val="36867074"/>
    <w:rsid w:val="36F54FF5"/>
    <w:rsid w:val="376767CC"/>
    <w:rsid w:val="376E0F84"/>
    <w:rsid w:val="37B72946"/>
    <w:rsid w:val="381A0F59"/>
    <w:rsid w:val="382D09E7"/>
    <w:rsid w:val="39A132B9"/>
    <w:rsid w:val="3A09416A"/>
    <w:rsid w:val="3A4614A9"/>
    <w:rsid w:val="3A494243"/>
    <w:rsid w:val="3AAD6E5C"/>
    <w:rsid w:val="3AD67458"/>
    <w:rsid w:val="3B685EC3"/>
    <w:rsid w:val="3B6E7803"/>
    <w:rsid w:val="3B714ACC"/>
    <w:rsid w:val="3B7D78C8"/>
    <w:rsid w:val="3C0B5911"/>
    <w:rsid w:val="3CD679F9"/>
    <w:rsid w:val="3CEF5C64"/>
    <w:rsid w:val="3D433DE6"/>
    <w:rsid w:val="3DF74EB9"/>
    <w:rsid w:val="3E0013FE"/>
    <w:rsid w:val="3E6F6F5F"/>
    <w:rsid w:val="3EF44C65"/>
    <w:rsid w:val="3F3131DE"/>
    <w:rsid w:val="3F856D09"/>
    <w:rsid w:val="40010477"/>
    <w:rsid w:val="403B675C"/>
    <w:rsid w:val="40765DE6"/>
    <w:rsid w:val="40A5279C"/>
    <w:rsid w:val="40A75013"/>
    <w:rsid w:val="40D97773"/>
    <w:rsid w:val="40F21858"/>
    <w:rsid w:val="410D494C"/>
    <w:rsid w:val="41EF6BB4"/>
    <w:rsid w:val="423D6446"/>
    <w:rsid w:val="42C11FF8"/>
    <w:rsid w:val="42CB2122"/>
    <w:rsid w:val="43150798"/>
    <w:rsid w:val="433A5F47"/>
    <w:rsid w:val="43CE67F7"/>
    <w:rsid w:val="43DB17CB"/>
    <w:rsid w:val="4419167D"/>
    <w:rsid w:val="443B5320"/>
    <w:rsid w:val="449B3B3D"/>
    <w:rsid w:val="44B52863"/>
    <w:rsid w:val="44CB4C57"/>
    <w:rsid w:val="455A23CE"/>
    <w:rsid w:val="456C1740"/>
    <w:rsid w:val="45E071B5"/>
    <w:rsid w:val="45F77D0A"/>
    <w:rsid w:val="463844A4"/>
    <w:rsid w:val="470E6791"/>
    <w:rsid w:val="47177481"/>
    <w:rsid w:val="47257848"/>
    <w:rsid w:val="47AC1002"/>
    <w:rsid w:val="47B63D37"/>
    <w:rsid w:val="47B85247"/>
    <w:rsid w:val="47E66FB4"/>
    <w:rsid w:val="488E5FFA"/>
    <w:rsid w:val="49302A86"/>
    <w:rsid w:val="494558AF"/>
    <w:rsid w:val="49955844"/>
    <w:rsid w:val="49B90697"/>
    <w:rsid w:val="49CD0EB8"/>
    <w:rsid w:val="4A5D6755"/>
    <w:rsid w:val="4A893298"/>
    <w:rsid w:val="4B5C6783"/>
    <w:rsid w:val="4B8E1B52"/>
    <w:rsid w:val="4B955A8D"/>
    <w:rsid w:val="4BB65DAD"/>
    <w:rsid w:val="4C846E96"/>
    <w:rsid w:val="4C94318A"/>
    <w:rsid w:val="4CFD75DE"/>
    <w:rsid w:val="4D7F6E87"/>
    <w:rsid w:val="4DCC56B4"/>
    <w:rsid w:val="4DCC5C84"/>
    <w:rsid w:val="4DD73816"/>
    <w:rsid w:val="4E95675E"/>
    <w:rsid w:val="4ED9366C"/>
    <w:rsid w:val="4F314EC5"/>
    <w:rsid w:val="4FCF6581"/>
    <w:rsid w:val="50377F17"/>
    <w:rsid w:val="50443FCC"/>
    <w:rsid w:val="504B291D"/>
    <w:rsid w:val="5058665B"/>
    <w:rsid w:val="50777AF1"/>
    <w:rsid w:val="50787507"/>
    <w:rsid w:val="50B576FA"/>
    <w:rsid w:val="51CC0A49"/>
    <w:rsid w:val="5284792A"/>
    <w:rsid w:val="53A61768"/>
    <w:rsid w:val="54074475"/>
    <w:rsid w:val="54475EEC"/>
    <w:rsid w:val="54BA3344"/>
    <w:rsid w:val="54DD3E3D"/>
    <w:rsid w:val="555E131C"/>
    <w:rsid w:val="55632BA5"/>
    <w:rsid w:val="562053A0"/>
    <w:rsid w:val="56294033"/>
    <w:rsid w:val="56393E0B"/>
    <w:rsid w:val="56487021"/>
    <w:rsid w:val="56C70127"/>
    <w:rsid w:val="56C80626"/>
    <w:rsid w:val="56D44CC6"/>
    <w:rsid w:val="5723350A"/>
    <w:rsid w:val="579017FA"/>
    <w:rsid w:val="5795542B"/>
    <w:rsid w:val="57AF4509"/>
    <w:rsid w:val="57BA7631"/>
    <w:rsid w:val="58A65901"/>
    <w:rsid w:val="58C1074D"/>
    <w:rsid w:val="58FC18B8"/>
    <w:rsid w:val="591747E5"/>
    <w:rsid w:val="59587923"/>
    <w:rsid w:val="5A57253E"/>
    <w:rsid w:val="5A9C75B3"/>
    <w:rsid w:val="5B242B8E"/>
    <w:rsid w:val="5B552093"/>
    <w:rsid w:val="5B637785"/>
    <w:rsid w:val="5BF2500D"/>
    <w:rsid w:val="5C2C7210"/>
    <w:rsid w:val="5CBC36D2"/>
    <w:rsid w:val="5CDF5969"/>
    <w:rsid w:val="5D027B2E"/>
    <w:rsid w:val="5D07132D"/>
    <w:rsid w:val="5D276E3E"/>
    <w:rsid w:val="5D362124"/>
    <w:rsid w:val="5D485D82"/>
    <w:rsid w:val="5E3B1831"/>
    <w:rsid w:val="5E6A7C78"/>
    <w:rsid w:val="5E7709B5"/>
    <w:rsid w:val="5F006855"/>
    <w:rsid w:val="5F0E57A6"/>
    <w:rsid w:val="5F4A3DFB"/>
    <w:rsid w:val="60CF78FB"/>
    <w:rsid w:val="60D24B51"/>
    <w:rsid w:val="60D76F0D"/>
    <w:rsid w:val="611B57DB"/>
    <w:rsid w:val="614E60FC"/>
    <w:rsid w:val="6202050D"/>
    <w:rsid w:val="62182E2A"/>
    <w:rsid w:val="62566549"/>
    <w:rsid w:val="62990423"/>
    <w:rsid w:val="62AB57FB"/>
    <w:rsid w:val="62B01BF9"/>
    <w:rsid w:val="62C32E18"/>
    <w:rsid w:val="6314191D"/>
    <w:rsid w:val="6387128C"/>
    <w:rsid w:val="639B4849"/>
    <w:rsid w:val="63B45BE9"/>
    <w:rsid w:val="63CF0614"/>
    <w:rsid w:val="640C4E1E"/>
    <w:rsid w:val="6496502B"/>
    <w:rsid w:val="64C53862"/>
    <w:rsid w:val="64F33121"/>
    <w:rsid w:val="65E6445F"/>
    <w:rsid w:val="661B123F"/>
    <w:rsid w:val="66707260"/>
    <w:rsid w:val="667C66DB"/>
    <w:rsid w:val="668C3578"/>
    <w:rsid w:val="66B52D0D"/>
    <w:rsid w:val="66F62EC3"/>
    <w:rsid w:val="676C2D04"/>
    <w:rsid w:val="67CF3947"/>
    <w:rsid w:val="68604ADD"/>
    <w:rsid w:val="68DD1FDB"/>
    <w:rsid w:val="68E469E4"/>
    <w:rsid w:val="69755E98"/>
    <w:rsid w:val="699D6F25"/>
    <w:rsid w:val="69D06B1A"/>
    <w:rsid w:val="69F04E13"/>
    <w:rsid w:val="6A24788F"/>
    <w:rsid w:val="6A4674EE"/>
    <w:rsid w:val="6A764253"/>
    <w:rsid w:val="6A894A32"/>
    <w:rsid w:val="6B163256"/>
    <w:rsid w:val="6B565476"/>
    <w:rsid w:val="6D2346DE"/>
    <w:rsid w:val="6D74713A"/>
    <w:rsid w:val="6DB22C06"/>
    <w:rsid w:val="6EA810B1"/>
    <w:rsid w:val="6EC21583"/>
    <w:rsid w:val="6EEC7D2C"/>
    <w:rsid w:val="6F506D1B"/>
    <w:rsid w:val="701F6788"/>
    <w:rsid w:val="71100A38"/>
    <w:rsid w:val="717E1606"/>
    <w:rsid w:val="7186412C"/>
    <w:rsid w:val="71A851AC"/>
    <w:rsid w:val="71B176FB"/>
    <w:rsid w:val="71B96BBE"/>
    <w:rsid w:val="71CF5D6C"/>
    <w:rsid w:val="71F36BA1"/>
    <w:rsid w:val="72666E81"/>
    <w:rsid w:val="72CF63B4"/>
    <w:rsid w:val="73117047"/>
    <w:rsid w:val="731B7672"/>
    <w:rsid w:val="738F498D"/>
    <w:rsid w:val="73A645D6"/>
    <w:rsid w:val="7405145F"/>
    <w:rsid w:val="74404A49"/>
    <w:rsid w:val="74817CEE"/>
    <w:rsid w:val="74B62489"/>
    <w:rsid w:val="74F92B0F"/>
    <w:rsid w:val="75FE6867"/>
    <w:rsid w:val="77344095"/>
    <w:rsid w:val="775541B6"/>
    <w:rsid w:val="775E208C"/>
    <w:rsid w:val="77A563FC"/>
    <w:rsid w:val="78332E7C"/>
    <w:rsid w:val="784D53A6"/>
    <w:rsid w:val="78741F18"/>
    <w:rsid w:val="78D402C3"/>
    <w:rsid w:val="78F706F4"/>
    <w:rsid w:val="79130D42"/>
    <w:rsid w:val="79403531"/>
    <w:rsid w:val="79BC20B0"/>
    <w:rsid w:val="79D9373F"/>
    <w:rsid w:val="79EE2543"/>
    <w:rsid w:val="7A080CC1"/>
    <w:rsid w:val="7A8C2705"/>
    <w:rsid w:val="7ADD1EEE"/>
    <w:rsid w:val="7AE7399E"/>
    <w:rsid w:val="7B0642BD"/>
    <w:rsid w:val="7B384FAE"/>
    <w:rsid w:val="7C310986"/>
    <w:rsid w:val="7D1636B4"/>
    <w:rsid w:val="7D312FB0"/>
    <w:rsid w:val="7D475C8F"/>
    <w:rsid w:val="7D715148"/>
    <w:rsid w:val="7D8B4223"/>
    <w:rsid w:val="7DDE0898"/>
    <w:rsid w:val="7E1E1431"/>
    <w:rsid w:val="7E5570D2"/>
    <w:rsid w:val="7EC05209"/>
    <w:rsid w:val="7ED74C79"/>
    <w:rsid w:val="7F6D7B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uiPriority w:val="99"/>
    <w:pPr>
      <w:keepNext/>
      <w:keepLines/>
      <w:pBdr>
        <w:top w:val="none" w:color="auto" w:sz="0" w:space="1"/>
        <w:left w:val="none" w:color="auto" w:sz="0" w:space="4"/>
        <w:bottom w:val="none" w:color="auto" w:sz="0" w:space="1"/>
        <w:right w:val="none" w:color="auto" w:sz="0" w:space="1"/>
      </w:pBdr>
      <w:spacing w:before="340" w:after="330" w:line="578" w:lineRule="auto"/>
      <w:jc w:val="left"/>
      <w:outlineLvl w:val="0"/>
    </w:pPr>
    <w:rPr>
      <w:b/>
      <w:bCs/>
      <w:kern w:val="44"/>
      <w:sz w:val="32"/>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Document Map"/>
    <w:basedOn w:val="1"/>
    <w:link w:val="12"/>
    <w:unhideWhenUsed/>
    <w:qFormat/>
    <w:uiPriority w:val="99"/>
    <w:rPr>
      <w:rFonts w:ascii="宋体"/>
      <w:sz w:val="18"/>
      <w:szCs w:val="18"/>
    </w:rPr>
  </w:style>
  <w:style w:type="paragraph" w:styleId="4">
    <w:name w:val="Balloon Text"/>
    <w:basedOn w:val="1"/>
    <w:link w:val="13"/>
    <w:semiHidden/>
    <w:unhideWhenUsed/>
    <w:qFormat/>
    <w:uiPriority w:val="99"/>
    <w:rPr>
      <w:sz w:val="18"/>
      <w:szCs w:val="18"/>
    </w:r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Char"/>
    <w:basedOn w:val="8"/>
    <w:link w:val="2"/>
    <w:qFormat/>
    <w:uiPriority w:val="9"/>
    <w:rPr>
      <w:rFonts w:ascii="Calibri" w:hAnsi="Calibri"/>
      <w:b/>
      <w:bCs/>
      <w:kern w:val="44"/>
      <w:sz w:val="44"/>
      <w:szCs w:val="44"/>
    </w:rPr>
  </w:style>
  <w:style w:type="character" w:customStyle="1" w:styleId="10">
    <w:name w:val="页脚 Char"/>
    <w:basedOn w:val="8"/>
    <w:link w:val="5"/>
    <w:qFormat/>
    <w:locked/>
    <w:uiPriority w:val="99"/>
    <w:rPr>
      <w:rFonts w:cs="Times New Roman"/>
      <w:kern w:val="2"/>
      <w:sz w:val="18"/>
      <w:szCs w:val="18"/>
    </w:rPr>
  </w:style>
  <w:style w:type="character" w:customStyle="1" w:styleId="11">
    <w:name w:val="页眉 Char"/>
    <w:basedOn w:val="8"/>
    <w:link w:val="6"/>
    <w:qFormat/>
    <w:locked/>
    <w:uiPriority w:val="99"/>
    <w:rPr>
      <w:rFonts w:cs="Times New Roman"/>
      <w:kern w:val="2"/>
      <w:sz w:val="18"/>
      <w:szCs w:val="18"/>
    </w:rPr>
  </w:style>
  <w:style w:type="character" w:customStyle="1" w:styleId="12">
    <w:name w:val="文档结构图 Char"/>
    <w:basedOn w:val="8"/>
    <w:link w:val="3"/>
    <w:semiHidden/>
    <w:qFormat/>
    <w:uiPriority w:val="99"/>
    <w:rPr>
      <w:rFonts w:ascii="宋体" w:hAnsi="Calibri"/>
      <w:sz w:val="18"/>
      <w:szCs w:val="18"/>
    </w:rPr>
  </w:style>
  <w:style w:type="character" w:customStyle="1" w:styleId="13">
    <w:name w:val="批注框文本 Char"/>
    <w:basedOn w:val="8"/>
    <w:link w:val="4"/>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E4E11D-B8A8-4BF2-B1E3-0CD0BDAF6AF3}">
  <ds:schemaRefs/>
</ds:datastoreItem>
</file>

<file path=docProps/app.xml><?xml version="1.0" encoding="utf-8"?>
<Properties xmlns="http://schemas.openxmlformats.org/officeDocument/2006/extended-properties" xmlns:vt="http://schemas.openxmlformats.org/officeDocument/2006/docPropsVTypes">
  <Template>Normal</Template>
  <Pages>5</Pages>
  <Words>274</Words>
  <Characters>1568</Characters>
  <Lines>13</Lines>
  <Paragraphs>3</Paragraphs>
  <TotalTime>0</TotalTime>
  <ScaleCrop>false</ScaleCrop>
  <LinksUpToDate>false</LinksUpToDate>
  <CharactersWithSpaces>1839</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2016-12-29T08:53:00Z</dcterms:created>
  <dc:creator>Administrator</dc:creator>
  <cp:lastModifiedBy>林先生</cp:lastModifiedBy>
  <cp:lastPrinted>2019-01-04T05:45:00Z</cp:lastPrinted>
  <dcterms:modified xsi:type="dcterms:W3CDTF">2019-04-30T06:51:33Z</dcterms:modified>
  <dc:title>浙江农林大学暨阳学院教师教学工作业绩考核办法（试行）</dc:title>
  <cp:revision>317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