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483"/>
        <w:jc w:val="center"/>
        <w:rPr>
          <w:rFonts w:ascii="华文中宋" w:hAnsi="华文中宋" w:eastAsia="华文中宋"/>
          <w:b/>
          <w:sz w:val="36"/>
          <w:szCs w:val="36"/>
        </w:rPr>
      </w:pPr>
      <w:r>
        <w:rPr>
          <w:rFonts w:hint="eastAsia" w:ascii="华文中宋" w:hAnsi="华文中宋" w:eastAsia="华文中宋"/>
          <w:b/>
          <w:sz w:val="36"/>
          <w:szCs w:val="36"/>
        </w:rPr>
        <w:t>2020年绍兴市教育科学规划拟立项课题</w:t>
      </w:r>
    </w:p>
    <w:p>
      <w:pPr>
        <w:adjustRightInd w:val="0"/>
        <w:snapToGrid w:val="0"/>
        <w:ind w:right="-483"/>
        <w:jc w:val="center"/>
        <w:rPr>
          <w:rFonts w:ascii="华文中宋" w:hAnsi="华文中宋" w:eastAsia="华文中宋"/>
          <w:b/>
          <w:sz w:val="36"/>
          <w:szCs w:val="36"/>
        </w:rPr>
      </w:pPr>
      <w:r>
        <w:rPr>
          <w:rFonts w:hint="eastAsia" w:ascii="华文中宋" w:hAnsi="华文中宋" w:eastAsia="华文中宋"/>
          <w:b/>
          <w:sz w:val="36"/>
          <w:szCs w:val="36"/>
        </w:rPr>
        <w:t>（绍高教SGJ,共57项）</w:t>
      </w:r>
    </w:p>
    <w:p>
      <w:pPr>
        <w:adjustRightInd w:val="0"/>
        <w:snapToGrid w:val="0"/>
        <w:ind w:right="-483"/>
        <w:jc w:val="center"/>
        <w:rPr>
          <w:rFonts w:ascii="华文中宋" w:hAnsi="华文中宋" w:eastAsia="华文中宋"/>
          <w:b/>
          <w:sz w:val="36"/>
          <w:szCs w:val="36"/>
        </w:rPr>
      </w:pPr>
    </w:p>
    <w:tbl>
      <w:tblPr>
        <w:tblStyle w:val="2"/>
        <w:tblW w:w="13602" w:type="dxa"/>
        <w:tblInd w:w="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7623"/>
        <w:gridCol w:w="3100"/>
        <w:gridCol w:w="1080"/>
        <w:gridCol w:w="1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9" w:type="dxa"/>
            <w:tcBorders>
              <w:bottom w:val="single" w:color="auto" w:sz="12" w:space="0"/>
            </w:tcBorders>
            <w:shd w:val="clear" w:color="auto" w:fill="auto"/>
            <w:vAlign w:val="center"/>
          </w:tcPr>
          <w:p>
            <w:pPr>
              <w:widowControl/>
              <w:jc w:val="center"/>
              <w:textAlignment w:val="center"/>
              <w:rPr>
                <w:rFonts w:ascii="宋体" w:hAnsi="宋体" w:cs="宋体"/>
                <w:b/>
                <w:bCs/>
                <w:color w:val="000000"/>
                <w:kern w:val="0"/>
                <w:szCs w:val="21"/>
              </w:rPr>
            </w:pPr>
            <w:bookmarkStart w:id="1" w:name="_GoBack" w:colFirst="0" w:colLast="4"/>
            <w:r>
              <w:rPr>
                <w:rFonts w:hint="eastAsia" w:ascii="宋体" w:hAnsi="宋体" w:cs="宋体"/>
                <w:b/>
                <w:bCs/>
                <w:color w:val="000000"/>
                <w:kern w:val="0"/>
                <w:szCs w:val="21"/>
              </w:rPr>
              <w:t>序号</w:t>
            </w:r>
          </w:p>
        </w:tc>
        <w:tc>
          <w:tcPr>
            <w:tcW w:w="7623" w:type="dxa"/>
            <w:tcBorders>
              <w:bottom w:val="single" w:color="auto" w:sz="12" w:space="0"/>
            </w:tcBorders>
            <w:shd w:val="clear" w:color="auto" w:fill="auto"/>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题       目</w:t>
            </w:r>
          </w:p>
        </w:tc>
        <w:tc>
          <w:tcPr>
            <w:tcW w:w="3100" w:type="dxa"/>
            <w:tcBorders>
              <w:bottom w:val="single" w:color="auto" w:sz="12" w:space="0"/>
            </w:tcBorders>
            <w:shd w:val="clear" w:color="auto" w:fill="auto"/>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单    位（全称）</w:t>
            </w:r>
          </w:p>
        </w:tc>
        <w:tc>
          <w:tcPr>
            <w:tcW w:w="1080" w:type="dxa"/>
            <w:tcBorders>
              <w:bottom w:val="single" w:color="auto" w:sz="12" w:space="0"/>
            </w:tcBorders>
            <w:shd w:val="clear" w:color="auto" w:fill="auto"/>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负责人</w:t>
            </w:r>
          </w:p>
        </w:tc>
        <w:tc>
          <w:tcPr>
            <w:tcW w:w="1080" w:type="dxa"/>
            <w:tcBorders>
              <w:bottom w:val="single" w:color="auto" w:sz="12"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备注</w:t>
            </w:r>
          </w:p>
        </w:tc>
      </w:tr>
      <w:bookmarkEnd w:id="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op w:val="single" w:color="auto" w:sz="12" w:space="0"/>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1</w:t>
            </w:r>
          </w:p>
        </w:tc>
        <w:tc>
          <w:tcPr>
            <w:tcW w:w="7623" w:type="dxa"/>
            <w:tcBorders>
              <w:top w:val="single" w:color="auto" w:sz="12" w:space="0"/>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绍兴市高校体育教师职业道德状况及提升策略研究</w:t>
            </w:r>
          </w:p>
        </w:tc>
        <w:tc>
          <w:tcPr>
            <w:tcW w:w="3100" w:type="dxa"/>
            <w:tcBorders>
              <w:top w:val="single" w:color="auto" w:sz="12" w:space="0"/>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绍兴文理学院上虞分院</w:t>
            </w:r>
          </w:p>
        </w:tc>
        <w:tc>
          <w:tcPr>
            <w:tcW w:w="1080" w:type="dxa"/>
            <w:tcBorders>
              <w:top w:val="single" w:color="auto" w:sz="12" w:space="0"/>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陈思奇</w:t>
            </w:r>
          </w:p>
        </w:tc>
        <w:tc>
          <w:tcPr>
            <w:tcW w:w="1080" w:type="dxa"/>
            <w:tcBorders>
              <w:top w:val="single" w:color="auto" w:sz="12" w:space="0"/>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2</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“双创”背景下高职设计类软件课程的教学改革</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绍兴文理学院上虞分院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罗一萍</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3</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绍兴市学前教育“三年行动计划”实施效果评估</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绍兴文理学院教师教育学院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张剑春</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4</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“1+1”模式在高校心理健康教育中的探索与实践——以绍兴文理学院为例</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绍兴文理学院学工部</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赵晓妍</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5</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基于产出导向法的留学生汉语听力教学效应研究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绍兴文理学院外国语学院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陈玲</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6</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浙江省高校学科竞争力的评价与提升策略研究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绍兴文理学院马克思主义学院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王淑芳</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7</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“拼图式拓展教学法”在建筑学专业技术类课程教学中的应用研究——以《建筑构造》课程为例</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绍兴文理学院土木工程学院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周欣墨</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8</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新高考背景下地方高校大学生适应性调查及教育对策研究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绍兴文理学院数理信息学院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魏雪蕊</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9</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基于“创客教育+SPOC”的计算机基础教学模式探析</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绍兴文理学院上虞分院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叶银兰</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10</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大数据时代下地方院校统计学教学改革实践</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绍兴文理学院数理信息学院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王会敏</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11</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高校教师课堂倾听行为的质化研究：以管理类课程为例</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绍兴文理学院商学院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雷宇</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12</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地方高校经管类专业校企合作人才培养模式的探索与实践</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绍兴文理学院商学院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姚梦懿</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13</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大学生英语语音中绍兴方言迁移的实证研究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绍兴文理学院元培学院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邵永娟</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bookmarkStart w:id="0" w:name="RANGE!A16"/>
            <w:r>
              <w:rPr>
                <w:rFonts w:hint="eastAsia" w:ascii="宋体" w:hAnsi="宋体" w:cs="宋体"/>
                <w:color w:val="000000"/>
                <w:kern w:val="0"/>
                <w:szCs w:val="21"/>
              </w:rPr>
              <w:t>14</w:t>
            </w:r>
            <w:bookmarkEnd w:id="0"/>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PBGS教学模式在经管类专业《应用统计学》课程中的应用探究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绍兴文理学院元培学院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朱彩虹</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15</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创新创业教育视角下校企合作人才培养模式研究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绍兴文理学院元培学院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黄祥辉</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16</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基于经济管理类毕业生创新创业能力培养的教学模式改革</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绍兴文理学院元培学院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骆建芬</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17</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基于校企合作的工程管理毕业生专业技能提升研究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绍兴文理学院元培学院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王琪栋</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18</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基于STEM的计算机创新教育探索与研究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浙江农林大学暨阳学院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楼吉林</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19</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当代青年亚文化发展与引导策略</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浙江农林大学暨阳学院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季永亮</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20</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以创业实践为导向的创新创业实训课程模式探析</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浙江农林大学暨阳学院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陈稼瑜</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21</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 xml:space="preserve">创业教育视角下独立学院思想政治教育体系研究 </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浙江农林大学暨阳学院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宣王威</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22</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独立学院思政课“三位一体”混合式教学改革研究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浙江农林大学暨阳学院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陈婵</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23</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基于多元联动型的“法律诊所”教学评价模式研究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浙江农林大学暨阳学院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周伯煌</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24</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高校思想政治理论课“讲好中国故事”研究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浙江农林大学暨阳学院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彭金玉</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25</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基于赛教融合的VR方向课程项目化教学模式改革——以3D建模与动画课程教学实践为例</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杨芳圆</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26</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基于数据传递的BIM技术在工程造价专业课程中的融合研究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黄泓萍</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27</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“1+X”背景下工程造价专业中高职一体化模式有效探究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杨兵</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28</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基于多敏感属性分级匿名法的学生隐私保护研究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王秋月</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29</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新商科背景下高职英语智慧课堂构建研究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李 芳</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30</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护生专业自我概念、情绪智力与共情的关系研究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王鑫星</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31</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非遗文化背景下艺术设计专业双创教育实践研究——以绍兴职业技术学院为例</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叶岚</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32</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现代学徒制模式下校企生“责权利”问题研究----万号大学项目为例</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浙江邮电职业技术学院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丁海防</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33</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基于精品在线开放课程的高职混合式教学研究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浙江省邮电职业技术学院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王菁</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34</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中高职三二分段一体化课程体系的构建—以数字媒体艺术设计专业为例</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浙江邮电职业技术学院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黄成军</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35</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工学结合教学模式下学生情绪压力研究——以电信服务与管理专业为例</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浙江邮电职业技术学院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沈苏霞</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36</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供给侧改革背景下高职类艺术设计专业人才培养模式的研究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浙江邮电职业技术学院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王可伟</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37</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产教融合下《通信工程预决算》项目化教学建设研究与实践</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浙江邮电职业技术学院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石休令</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38</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绍兴高校教学、科研与成果转化的协同机制研究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浙江越秀外国语学院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商叶薇</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39</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泛在网络背景下大学英语3D互动教学模式研究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浙江越秀外国语学院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陈菲菲</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40</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“人类命运共同体”视域下“俄罗斯文学选读”课程思辨能力培养研究——以浙江越秀外国语学院为例</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浙江越秀外国语学院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赵燕</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41</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体医结合下的大学生体质健康管理创新模式与实践路径研究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浙江越秀外国语学院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曹礼</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42</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基于“雨课堂+MOOC”多平台联动的混合式教学模式在《初级西班牙语》中的应用研究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浙江越秀外国语学院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耿璐</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43</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“金课”背景下高职院校混合式课堂教学实践探索</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浙江工业职业技术学院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姜磊</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44</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高校公共体育课程思政的实施规律与评价模式探究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浙江工业职业技术学院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董燕军</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45</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构建“四维融合”的思政课综合教学模式——以浙江工业职业技术学院为例</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浙江工业职业技术学院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闫振伟</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46</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基于“三阶段、五步法”翻转课堂教学模式的探索——以《纺纱工艺设计与实训》课程为例</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浙江工业职业技术学院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余雪满</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47</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现代性视域下王阳明实学教育思想及对职业教育的启示研究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浙江工业职业技术学院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汤铎原</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48</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智能制造背景下“理-虚-实”一体化教学模式研究——以“工业机器人技术”课程为例</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浙江工业职业技术学院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韩金臻</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49</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产教融合背景下高职市场营销专业校企合作及其对学生就业创业的影响研究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浙江工业职业技术学院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戴洛特</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50</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职业教育新能源汽车技术专业教学资源库应用推广机制的研究与实践</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浙江工业职业技术学院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甘伟</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51</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健体健心：职业教育背景下高职体育课程的思政教育融合研究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浙江农业商贸职业学院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鄢佩</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52</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农创客背景下高职农商科专业实践教学体系的构建</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浙江农业商贸职业学院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张广花</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53</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 xml:space="preserve">基于“三教”改革的高职院校信息化教学方法研究——以互联网金融专业为例 </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浙江农业商贸职业学院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陈毓佳</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54</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基于创业教育视角下的高职生创新创业素养培育路径的探索和实践</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浙江农业商贸职业学院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谢清</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55</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大数据分析技术在高职院校教学质量评价中的应用研究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浙江农业商贸职业学院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许宗艳</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56</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混合式教学在《网页美工》课程改革中的实践与研究</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浙江农业商贸职业学院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从悦</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9"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57</w:t>
            </w:r>
          </w:p>
        </w:tc>
        <w:tc>
          <w:tcPr>
            <w:tcW w:w="7623"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 xml:space="preserve">涉农专业高职生创新创业核心素养培育路径研究 ——以供销合作社文化涵养为例 </w:t>
            </w:r>
          </w:p>
        </w:tc>
        <w:tc>
          <w:tcPr>
            <w:tcW w:w="310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浙江农业商贸职业学院</w:t>
            </w:r>
          </w:p>
        </w:tc>
        <w:tc>
          <w:tcPr>
            <w:tcW w:w="1080" w:type="dxa"/>
            <w:tcBorders>
              <w:tl2br w:val="nil"/>
              <w:tr2bl w:val="nil"/>
            </w:tcBorders>
            <w:shd w:val="clear" w:color="auto" w:fill="auto"/>
            <w:vAlign w:val="center"/>
          </w:tcPr>
          <w:p>
            <w:pPr>
              <w:widowControl/>
              <w:jc w:val="both"/>
              <w:textAlignment w:val="center"/>
              <w:rPr>
                <w:rFonts w:ascii="宋体" w:hAnsi="宋体" w:cs="宋体"/>
                <w:color w:val="000000"/>
                <w:kern w:val="0"/>
                <w:szCs w:val="21"/>
              </w:rPr>
            </w:pPr>
            <w:r>
              <w:rPr>
                <w:rFonts w:hint="eastAsia" w:ascii="宋体" w:hAnsi="宋体" w:cs="宋体"/>
                <w:color w:val="000000"/>
                <w:kern w:val="0"/>
                <w:szCs w:val="21"/>
              </w:rPr>
              <w:t>艾琛</w:t>
            </w:r>
          </w:p>
        </w:tc>
        <w:tc>
          <w:tcPr>
            <w:tcW w:w="1080" w:type="dxa"/>
            <w:tcBorders>
              <w:tl2br w:val="nil"/>
              <w:tr2bl w:val="nil"/>
            </w:tcBorders>
            <w:vAlign w:val="center"/>
          </w:tcPr>
          <w:p>
            <w:pPr>
              <w:widowControl/>
              <w:jc w:val="both"/>
              <w:textAlignment w:val="center"/>
              <w:rPr>
                <w:rFonts w:hint="eastAsia" w:ascii="宋体" w:hAnsi="宋体" w:cs="宋体"/>
                <w:color w:val="000000"/>
                <w:kern w:val="0"/>
                <w:szCs w:val="21"/>
              </w:rPr>
            </w:pPr>
          </w:p>
        </w:tc>
      </w:tr>
    </w:tbl>
    <w:p>
      <w:pPr>
        <w:widowControl/>
        <w:jc w:val="left"/>
        <w:textAlignment w:val="center"/>
        <w:rPr>
          <w:rFonts w:ascii="宋体" w:hAnsi="宋体" w:cs="宋体"/>
          <w:color w:val="000000"/>
          <w:kern w:val="0"/>
          <w:szCs w:val="21"/>
        </w:rPr>
      </w:pPr>
    </w:p>
    <w:sectPr>
      <w:pgSz w:w="16838" w:h="11906" w:orient="landscape"/>
      <w:pgMar w:top="1701" w:right="1134" w:bottom="1134"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21CA"/>
    <w:rsid w:val="00093DB5"/>
    <w:rsid w:val="00104644"/>
    <w:rsid w:val="003021CA"/>
    <w:rsid w:val="009E1F98"/>
    <w:rsid w:val="00AB3650"/>
    <w:rsid w:val="00EC2173"/>
    <w:rsid w:val="6EF0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408</Words>
  <Characters>2329</Characters>
  <Lines>19</Lines>
  <Paragraphs>5</Paragraphs>
  <TotalTime>8</TotalTime>
  <ScaleCrop>false</ScaleCrop>
  <LinksUpToDate>false</LinksUpToDate>
  <CharactersWithSpaces>2732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2019-11-27T08:05:00Z</dcterms:created>
  <dc:creator>dreamsummit</dc:creator>
  <cp:lastModifiedBy>孟迎春</cp:lastModifiedBy>
  <dcterms:modified xsi:type="dcterms:W3CDTF">2019-12-02T02:18:44Z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